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tblCellSpacing w:w="0" w:type="dxa"/>
        <w:shd w:val="clear" w:color="auto" w:fill="FFFFFF"/>
        <w:tblCellMar>
          <w:left w:w="0" w:type="dxa"/>
          <w:right w:w="0" w:type="dxa"/>
        </w:tblCellMar>
        <w:tblLook w:val="04A0" w:firstRow="1" w:lastRow="0" w:firstColumn="1" w:lastColumn="0" w:noHBand="0" w:noVBand="1"/>
      </w:tblPr>
      <w:tblGrid>
        <w:gridCol w:w="8400"/>
      </w:tblGrid>
      <w:tr w:rsidR="009A77FB" w:rsidRPr="009A77FB" w14:paraId="45068988" w14:textId="77777777" w:rsidTr="009A77F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9A77FB" w:rsidRPr="009A77FB" w14:paraId="3AE20D5E" w14:textId="77777777">
              <w:trPr>
                <w:tblCellSpacing w:w="0" w:type="dxa"/>
              </w:trPr>
              <w:tc>
                <w:tcPr>
                  <w:tcW w:w="5000" w:type="pct"/>
                  <w:shd w:val="clear" w:color="auto" w:fill="FFFFFF"/>
                  <w:hideMark/>
                </w:tcPr>
                <w:p w14:paraId="3A7F2603" w14:textId="3D985F62" w:rsidR="009A77FB" w:rsidRPr="009A77FB" w:rsidRDefault="009A77FB" w:rsidP="009A77FB">
                  <w:r w:rsidRPr="009A77FB">
                    <w:drawing>
                      <wp:inline distT="0" distB="0" distL="0" distR="0" wp14:anchorId="582184AB" wp14:editId="66C563F3">
                        <wp:extent cx="2019300" cy="609600"/>
                        <wp:effectExtent l="0" t="0" r="0" b="0"/>
                        <wp:docPr id="1444095757" name="Grafik 17" descr="BMBW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BWF-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tc>
            </w:tr>
          </w:tbl>
          <w:p w14:paraId="0D27A58B" w14:textId="77777777" w:rsidR="009A77FB" w:rsidRPr="009A77FB" w:rsidRDefault="009A77FB" w:rsidP="009A77FB"/>
        </w:tc>
      </w:tr>
      <w:tr w:rsidR="009A77FB" w:rsidRPr="009A77FB" w14:paraId="41C32D88" w14:textId="77777777" w:rsidTr="009A77F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9A77FB" w:rsidRPr="009A77FB" w14:paraId="20C9C737" w14:textId="77777777">
              <w:trPr>
                <w:tblCellSpacing w:w="0" w:type="dxa"/>
              </w:trPr>
              <w:tc>
                <w:tcPr>
                  <w:tcW w:w="0" w:type="auto"/>
                  <w:shd w:val="clear" w:color="auto" w:fill="9E0529"/>
                  <w:hideMark/>
                </w:tcPr>
                <w:p w14:paraId="26D6FD8D" w14:textId="77777777" w:rsidR="009A77FB" w:rsidRPr="009A77FB" w:rsidRDefault="009A77FB" w:rsidP="009A77FB">
                  <w:pPr>
                    <w:rPr>
                      <w:b/>
                      <w:bCs/>
                    </w:rPr>
                  </w:pPr>
                  <w:r w:rsidRPr="009A77FB">
                    <w:rPr>
                      <w:b/>
                      <w:bCs/>
                    </w:rPr>
                    <w:t>Ihr BMBWF informiert</w:t>
                  </w:r>
                  <w:r w:rsidRPr="009A77FB">
                    <w:rPr>
                      <w:b/>
                      <w:bCs/>
                    </w:rPr>
                    <w:br/>
                    <w:t>IX/2024</w:t>
                  </w:r>
                </w:p>
              </w:tc>
            </w:tr>
          </w:tbl>
          <w:p w14:paraId="77EC5D46" w14:textId="77777777" w:rsidR="009A77FB" w:rsidRPr="009A77FB" w:rsidRDefault="009A77FB" w:rsidP="009A77FB"/>
        </w:tc>
      </w:tr>
      <w:tr w:rsidR="009A77FB" w:rsidRPr="009A77FB" w14:paraId="0AF81216" w14:textId="77777777" w:rsidTr="009A77FB">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9A77FB" w:rsidRPr="009A77FB" w14:paraId="32060AB3" w14:textId="77777777">
              <w:trPr>
                <w:tblCellSpacing w:w="0" w:type="dxa"/>
              </w:trPr>
              <w:tc>
                <w:tcPr>
                  <w:tcW w:w="0" w:type="auto"/>
                  <w:shd w:val="clear" w:color="auto" w:fill="F5F5F5"/>
                  <w:vAlign w:val="center"/>
                  <w:hideMark/>
                </w:tcPr>
                <w:p w14:paraId="77B691D8" w14:textId="77777777" w:rsidR="009A77FB" w:rsidRPr="009A77FB" w:rsidRDefault="009A77FB" w:rsidP="009A77FB">
                  <w:r w:rsidRPr="009A77FB">
                    <w:t> </w:t>
                  </w:r>
                </w:p>
              </w:tc>
            </w:tr>
          </w:tbl>
          <w:p w14:paraId="2CD538FD" w14:textId="77777777" w:rsidR="009A77FB" w:rsidRPr="009A77FB" w:rsidRDefault="009A77FB" w:rsidP="009A77FB"/>
        </w:tc>
      </w:tr>
      <w:tr w:rsidR="009A77FB" w:rsidRPr="009A77FB" w14:paraId="55D50E71" w14:textId="77777777" w:rsidTr="009A77FB">
        <w:trPr>
          <w:tblCellSpacing w:w="0" w:type="dxa"/>
        </w:trPr>
        <w:tc>
          <w:tcPr>
            <w:tcW w:w="0" w:type="auto"/>
            <w:shd w:val="clear" w:color="auto" w:fill="FFFFFF"/>
            <w:hideMark/>
          </w:tcPr>
          <w:tbl>
            <w:tblPr>
              <w:tblW w:w="8400" w:type="dxa"/>
              <w:tblCellSpacing w:w="0" w:type="dxa"/>
              <w:tblCellMar>
                <w:left w:w="0" w:type="dxa"/>
                <w:right w:w="0" w:type="dxa"/>
              </w:tblCellMar>
              <w:tblLook w:val="04A0" w:firstRow="1" w:lastRow="0" w:firstColumn="1" w:lastColumn="0" w:noHBand="0" w:noVBand="1"/>
            </w:tblPr>
            <w:tblGrid>
              <w:gridCol w:w="8400"/>
            </w:tblGrid>
            <w:tr w:rsidR="009A77FB" w:rsidRPr="009A77FB" w14:paraId="187F5C32" w14:textId="77777777">
              <w:trPr>
                <w:tblCellSpacing w:w="0" w:type="dxa"/>
              </w:trPr>
              <w:tc>
                <w:tcPr>
                  <w:tcW w:w="0" w:type="auto"/>
                  <w:tcMar>
                    <w:top w:w="225" w:type="dxa"/>
                    <w:left w:w="225" w:type="dxa"/>
                    <w:bottom w:w="0" w:type="dxa"/>
                    <w:right w:w="225" w:type="dxa"/>
                  </w:tcMar>
                  <w:hideMark/>
                </w:tcPr>
                <w:p w14:paraId="69DA971A" w14:textId="77777777" w:rsidR="009A77FB" w:rsidRPr="009A77FB" w:rsidRDefault="009A77FB" w:rsidP="009A77FB">
                  <w:r w:rsidRPr="009A77FB">
                    <w:t>Liebe Frau Kollegin, lieber Herr Kollege,</w:t>
                  </w:r>
                </w:p>
                <w:p w14:paraId="01E3BABB" w14:textId="77777777" w:rsidR="009A77FB" w:rsidRPr="009A77FB" w:rsidRDefault="009A77FB" w:rsidP="009A77FB">
                  <w:r w:rsidRPr="009A77FB">
                    <w:t xml:space="preserve">in diesem Infomailing erwarten Sie unter anderem die </w:t>
                  </w:r>
                  <w:proofErr w:type="spellStart"/>
                  <w:r w:rsidRPr="009A77FB">
                    <w:t>BeSt</w:t>
                  </w:r>
                  <w:proofErr w:type="spellEnd"/>
                  <w:r w:rsidRPr="009A77FB">
                    <w:t xml:space="preserve"> Innsbruck, ein hoch dotierter Innovationspreis für Schulen, ein neuer Lehrplan für den sonderpädagogischen Bereich sowie ein Rundschreiben „Hinschauen statt Wegschauen“ mit zahlreichen Maßnahmen für eine sichere Schule und ausgewählte Fortbildungen.</w:t>
                  </w:r>
                  <w:r w:rsidRPr="009A77FB">
                    <w:br/>
                  </w:r>
                  <w:r w:rsidRPr="009A77FB">
                    <w:br/>
                    <w:t>Ihr Team Kommunikation</w:t>
                  </w:r>
                </w:p>
              </w:tc>
            </w:tr>
            <w:tr w:rsidR="009A77FB" w:rsidRPr="009A77FB" w14:paraId="5A6705D3" w14:textId="77777777">
              <w:trPr>
                <w:tblCellSpacing w:w="0" w:type="dxa"/>
              </w:trPr>
              <w:tc>
                <w:tcPr>
                  <w:tcW w:w="0" w:type="auto"/>
                  <w:tcMar>
                    <w:top w:w="225" w:type="dxa"/>
                    <w:left w:w="225" w:type="dxa"/>
                    <w:bottom w:w="225" w:type="dxa"/>
                    <w:right w:w="225" w:type="dxa"/>
                  </w:tcMar>
                  <w:hideMark/>
                </w:tcPr>
                <w:p w14:paraId="6900AFD9" w14:textId="77777777" w:rsidR="009A77FB" w:rsidRPr="009A77FB" w:rsidRDefault="009A77FB" w:rsidP="009A77FB">
                  <w:r w:rsidRPr="009A77FB">
                    <w:pict w14:anchorId="18EB8AE3">
                      <v:rect id="_x0000_i1026" style="width:470.3pt;height:.75pt" o:hralign="center" o:hrstd="t" o:hrnoshade="t" o:hr="t" fillcolor="#ddd" stroked="f"/>
                    </w:pict>
                  </w:r>
                </w:p>
              </w:tc>
            </w:tr>
            <w:tr w:rsidR="009A77FB" w:rsidRPr="009A77FB" w14:paraId="3CF5A029" w14:textId="77777777">
              <w:trPr>
                <w:tblCellSpacing w:w="0" w:type="dxa"/>
              </w:trPr>
              <w:tc>
                <w:tcPr>
                  <w:tcW w:w="0" w:type="auto"/>
                  <w:tcMar>
                    <w:top w:w="225" w:type="dxa"/>
                    <w:left w:w="225" w:type="dxa"/>
                    <w:bottom w:w="225" w:type="dxa"/>
                    <w:right w:w="225" w:type="dxa"/>
                  </w:tcMar>
                  <w:hideMark/>
                </w:tcPr>
                <w:p w14:paraId="3D57625E" w14:textId="77777777" w:rsidR="009A77FB" w:rsidRPr="009A77FB" w:rsidRDefault="009A77FB" w:rsidP="009A77FB">
                  <w:bookmarkStart w:id="0" w:name="x_text3928"/>
                  <w:proofErr w:type="spellStart"/>
                  <w:r w:rsidRPr="009A77FB">
                    <w:t>BeSt</w:t>
                  </w:r>
                  <w:proofErr w:type="spellEnd"/>
                  <w:r w:rsidRPr="009A77FB">
                    <w:t xml:space="preserve"> Innsbruck: 27.- 29. November 2024</w:t>
                  </w:r>
                  <w:bookmarkEnd w:id="0"/>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7C1E1E60" w14:textId="77777777">
                    <w:trPr>
                      <w:tblCellSpacing w:w="0" w:type="dxa"/>
                    </w:trPr>
                    <w:tc>
                      <w:tcPr>
                        <w:tcW w:w="1650" w:type="pct"/>
                        <w:hideMark/>
                      </w:tcPr>
                      <w:p w14:paraId="5C658D82" w14:textId="368D9960" w:rsidR="009A77FB" w:rsidRPr="009A77FB" w:rsidRDefault="009A77FB" w:rsidP="009A77FB">
                        <w:r w:rsidRPr="009A77FB">
                          <w:drawing>
                            <wp:inline distT="0" distB="0" distL="0" distR="0" wp14:anchorId="1F3BD61F" wp14:editId="0A22DA2B">
                              <wp:extent cx="1524000" cy="1009650"/>
                              <wp:effectExtent l="0" t="0" r="0" b="0"/>
                              <wp:docPr id="1093345715" name="Grafik 16" descr="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3EF29A81" w14:textId="77777777" w:rsidR="009A77FB" w:rsidRPr="009A77FB" w:rsidRDefault="009A77FB" w:rsidP="009A77FB">
                        <w:r w:rsidRPr="009A77FB">
                          <w:t xml:space="preserve">Die </w:t>
                        </w:r>
                        <w:proofErr w:type="spellStart"/>
                        <w:r w:rsidRPr="009A77FB">
                          <w:t>BeSt</w:t>
                        </w:r>
                        <w:proofErr w:type="spellEnd"/>
                        <w:r w:rsidRPr="009A77FB">
                          <w:t xml:space="preserve"> – Österreichs größte Berufs- und Bildungsmesse – öffnet ihre Türen in der Messe Innsbruck (Halle B). Über 200 Ausstellerinnen und Aussteller bieten Einblicke in Bildungs- und Berufsmöglichkeiten. Planen Sie mit Ihrer Klasse einen Messebesuch: Schulen aus Tirol, Vorarlberg, Salzburg und Kärnten können die </w:t>
                        </w:r>
                        <w:proofErr w:type="spellStart"/>
                        <w:r w:rsidRPr="009A77FB">
                          <w:t>BeSt</w:t>
                        </w:r>
                        <w:proofErr w:type="spellEnd"/>
                        <w:r w:rsidRPr="009A77FB">
                          <w:t xml:space="preserve"> während der Schulzeit besuchen.</w:t>
                        </w:r>
                      </w:p>
                    </w:tc>
                  </w:tr>
                </w:tbl>
                <w:p w14:paraId="2A804F13" w14:textId="77777777" w:rsidR="009A77FB" w:rsidRPr="009A77FB" w:rsidRDefault="009A77FB" w:rsidP="009A77FB">
                  <w:hyperlink r:id="rId7" w:tooltip="https://newsletter.bmbwf.gv.at/redirect.html?s=BterHOk4IHgG" w:history="1">
                    <w:r w:rsidRPr="009A77FB">
                      <w:rPr>
                        <w:rStyle w:val="Hyperlink"/>
                      </w:rPr>
                      <w:t>mehr dazu</w:t>
                    </w:r>
                  </w:hyperlink>
                </w:p>
                <w:p w14:paraId="17664BAB" w14:textId="77777777" w:rsidR="009A77FB" w:rsidRPr="009A77FB" w:rsidRDefault="009A77FB" w:rsidP="009A77FB">
                  <w:r w:rsidRPr="009A77FB">
                    <w:pict w14:anchorId="55922AD1">
                      <v:rect id="_x0000_i1028" style="width:470.3pt;height:.75pt" o:hralign="center" o:hrstd="t" o:hrnoshade="t" o:hr="t" fillcolor="#ddd" stroked="f"/>
                    </w:pict>
                  </w:r>
                </w:p>
                <w:p w14:paraId="4A71A8B3" w14:textId="77777777" w:rsidR="009A77FB" w:rsidRPr="009A77FB" w:rsidRDefault="009A77FB" w:rsidP="009A77FB">
                  <w:bookmarkStart w:id="1" w:name="x_text3975"/>
                  <w:r w:rsidRPr="009A77FB">
                    <w:t>ID-Austria: Ihr sicherer Zugang zu Bildungsanwendungen</w:t>
                  </w:r>
                  <w:bookmarkEnd w:id="1"/>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51F80C67" w14:textId="77777777">
                    <w:trPr>
                      <w:tblCellSpacing w:w="0" w:type="dxa"/>
                    </w:trPr>
                    <w:tc>
                      <w:tcPr>
                        <w:tcW w:w="1650" w:type="pct"/>
                        <w:hideMark/>
                      </w:tcPr>
                      <w:p w14:paraId="0561C31B" w14:textId="16C365BA" w:rsidR="009A77FB" w:rsidRPr="009A77FB" w:rsidRDefault="009A77FB" w:rsidP="009A77FB">
                        <w:r w:rsidRPr="009A77FB">
                          <w:lastRenderedPageBreak/>
                          <w:drawing>
                            <wp:inline distT="0" distB="0" distL="0" distR="0" wp14:anchorId="63817FAC" wp14:editId="1AC4C769">
                              <wp:extent cx="1524000" cy="1362075"/>
                              <wp:effectExtent l="0" t="0" r="0" b="9525"/>
                              <wp:docPr id="1226941125" name="Grafik 15" descr="Ein Bild, das Gerät, tragbares Kommunikationsgerät, Kommunikationsgerät, Hand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41125" name="Grafik 15" descr="Ein Bild, das Gerät, tragbares Kommunikationsgerät, Kommunikationsgerät, Handy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362075"/>
                                      </a:xfrm>
                                      <a:prstGeom prst="rect">
                                        <a:avLst/>
                                      </a:prstGeom>
                                      <a:noFill/>
                                      <a:ln>
                                        <a:noFill/>
                                      </a:ln>
                                    </pic:spPr>
                                  </pic:pic>
                                </a:graphicData>
                              </a:graphic>
                            </wp:inline>
                          </w:drawing>
                        </w:r>
                      </w:p>
                    </w:tc>
                    <w:tc>
                      <w:tcPr>
                        <w:tcW w:w="3350" w:type="pct"/>
                        <w:hideMark/>
                      </w:tcPr>
                      <w:p w14:paraId="1286A1C0" w14:textId="77777777" w:rsidR="009A77FB" w:rsidRPr="009A77FB" w:rsidRDefault="009A77FB" w:rsidP="009A77FB">
                        <w:r w:rsidRPr="009A77FB">
                          <w:t>Die ID-Austria ist der digitale Schlüssel für sicheres Identifizieren und Signieren in Behördenqualität – für den Bildungsbereich unverzichtbar. Sie schützt sensible Daten wie etwa Zeugnisnoten zuverlässig vor unbefugtem Zugriff und bietet eine komfortable Multifaktor-Authentifizierung. Das Bildungsportal nutzt die ID-Austria für hochsichere Logins, u.a. zur Schulverwaltungssoftware. Jetzt registrieren: Die ID-Austria ist einfach mit Smartphone oder FIDO2-Token nutzbar. Lesen Sie alle Details zur ID sowie zur Registrierung.</w:t>
                        </w:r>
                      </w:p>
                    </w:tc>
                  </w:tr>
                </w:tbl>
                <w:p w14:paraId="3400BA76" w14:textId="77777777" w:rsidR="009A77FB" w:rsidRPr="009A77FB" w:rsidRDefault="009A77FB" w:rsidP="009A77FB">
                  <w:hyperlink r:id="rId9" w:tooltip="https://newsletter.bmbwf.gv.at/redirect.html?s=V-fLx41f9yWo" w:history="1">
                    <w:r w:rsidRPr="009A77FB">
                      <w:rPr>
                        <w:rStyle w:val="Hyperlink"/>
                      </w:rPr>
                      <w:t>mehr dazu</w:t>
                    </w:r>
                  </w:hyperlink>
                </w:p>
                <w:p w14:paraId="1AFE220D" w14:textId="77777777" w:rsidR="009A77FB" w:rsidRPr="009A77FB" w:rsidRDefault="009A77FB" w:rsidP="009A77FB">
                  <w:r w:rsidRPr="009A77FB">
                    <w:pict w14:anchorId="7A0BCAF6">
                      <v:rect id="_x0000_i1030" style="width:470.3pt;height:.75pt" o:hralign="center" o:hrstd="t" o:hrnoshade="t" o:hr="t" fillcolor="#ddd" stroked="f"/>
                    </w:pict>
                  </w:r>
                </w:p>
                <w:p w14:paraId="226D16C1" w14:textId="77777777" w:rsidR="009A77FB" w:rsidRPr="009A77FB" w:rsidRDefault="009A77FB" w:rsidP="009A77FB">
                  <w:bookmarkStart w:id="2" w:name="x_text3932"/>
                  <w:r w:rsidRPr="009A77FB">
                    <w:t>ISB Stiftungspreis Bildungsinnovation - bewerben Sie sich bis 31. Jänner 2025!</w:t>
                  </w:r>
                  <w:bookmarkEnd w:id="2"/>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193961A2" w14:textId="77777777">
                    <w:trPr>
                      <w:tblCellSpacing w:w="0" w:type="dxa"/>
                    </w:trPr>
                    <w:tc>
                      <w:tcPr>
                        <w:tcW w:w="1650" w:type="pct"/>
                        <w:hideMark/>
                      </w:tcPr>
                      <w:p w14:paraId="4E0EAF46" w14:textId="566B8424" w:rsidR="009A77FB" w:rsidRPr="009A77FB" w:rsidRDefault="009A77FB" w:rsidP="009A77FB">
                        <w:r w:rsidRPr="009A77FB">
                          <w:drawing>
                            <wp:inline distT="0" distB="0" distL="0" distR="0" wp14:anchorId="31764BA2" wp14:editId="1F625788">
                              <wp:extent cx="1524000" cy="895350"/>
                              <wp:effectExtent l="0" t="0" r="0" b="0"/>
                              <wp:docPr id="1741514579" name="Grafik 14" descr="Ein Bild, das Text, Screensho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14579" name="Grafik 14" descr="Ein Bild, das Text, Screenshot, Grafikdesign, Logo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inline>
                          </w:drawing>
                        </w:r>
                      </w:p>
                    </w:tc>
                    <w:tc>
                      <w:tcPr>
                        <w:tcW w:w="3350" w:type="pct"/>
                        <w:hideMark/>
                      </w:tcPr>
                      <w:p w14:paraId="2466DD02" w14:textId="77777777" w:rsidR="009A77FB" w:rsidRPr="009A77FB" w:rsidRDefault="009A77FB" w:rsidP="009A77FB">
                        <w:r w:rsidRPr="009A77FB">
                          <w:t xml:space="preserve">Erstmals wird 2024 der ISB Stiftungspreis Bildungsinnovation mit einem Preisgeld von insgesamt </w:t>
                        </w:r>
                        <w:proofErr w:type="gramStart"/>
                        <w:r w:rsidRPr="009A77FB">
                          <w:t>100.000,-</w:t>
                        </w:r>
                        <w:proofErr w:type="gramEnd"/>
                        <w:r w:rsidRPr="009A77FB">
                          <w:t xml:space="preserve"> € ausgeschrieben – eine Auszeichnung für elementare Bildungseinrichtungen und Schulen in Österreich, die mit kreativen Ansätzen einen Beitrag zur Bildungsinnovation leisten. Sie haben Fragen zur Bewerbung? Nehmen Sie an einer Online-Infoveranstaltungen teil, und holen Sie sich Tipps.</w:t>
                        </w:r>
                      </w:p>
                    </w:tc>
                  </w:tr>
                </w:tbl>
                <w:p w14:paraId="49633767" w14:textId="77777777" w:rsidR="009A77FB" w:rsidRPr="009A77FB" w:rsidRDefault="009A77FB" w:rsidP="009A77FB">
                  <w:hyperlink r:id="rId11" w:tooltip="https://newsletter.bmbwf.gv.at/redirect.html?s=38nEDDzSx7pz" w:history="1">
                    <w:r w:rsidRPr="009A77FB">
                      <w:rPr>
                        <w:rStyle w:val="Hyperlink"/>
                      </w:rPr>
                      <w:t>mehr dazu</w:t>
                    </w:r>
                  </w:hyperlink>
                </w:p>
                <w:p w14:paraId="7E51430E" w14:textId="77777777" w:rsidR="009A77FB" w:rsidRPr="009A77FB" w:rsidRDefault="009A77FB" w:rsidP="009A77FB">
                  <w:r w:rsidRPr="009A77FB">
                    <w:pict w14:anchorId="224060E4">
                      <v:rect id="_x0000_i1032" style="width:470.3pt;height:.75pt" o:hralign="center" o:hrstd="t" o:hrnoshade="t" o:hr="t" fillcolor="#ddd" stroked="f"/>
                    </w:pict>
                  </w:r>
                </w:p>
                <w:p w14:paraId="0E866BB9" w14:textId="77777777" w:rsidR="009A77FB" w:rsidRPr="009A77FB" w:rsidRDefault="009A77FB" w:rsidP="009A77FB">
                  <w:bookmarkStart w:id="3" w:name="x_text3900"/>
                  <w:r w:rsidRPr="009A77FB">
                    <w:t>weltweit unterrichten - Jetzt informieren und bewerben</w:t>
                  </w:r>
                  <w:bookmarkEnd w:id="3"/>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3EE2F475" w14:textId="77777777">
                    <w:trPr>
                      <w:tblCellSpacing w:w="0" w:type="dxa"/>
                    </w:trPr>
                    <w:tc>
                      <w:tcPr>
                        <w:tcW w:w="1650" w:type="pct"/>
                        <w:hideMark/>
                      </w:tcPr>
                      <w:p w14:paraId="55DF4098" w14:textId="2F50BE36" w:rsidR="009A77FB" w:rsidRPr="009A77FB" w:rsidRDefault="009A77FB" w:rsidP="009A77FB">
                        <w:r w:rsidRPr="009A77FB">
                          <w:drawing>
                            <wp:inline distT="0" distB="0" distL="0" distR="0" wp14:anchorId="1AD1D8E8" wp14:editId="154F5451">
                              <wp:extent cx="1524000" cy="885825"/>
                              <wp:effectExtent l="0" t="0" r="0" b="9525"/>
                              <wp:docPr id="949503061" name="Grafik 13"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3061" name="Grafik 13" descr="Ein Bild, das Text, Schrift,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p>
                    </w:tc>
                    <w:tc>
                      <w:tcPr>
                        <w:tcW w:w="3350" w:type="pct"/>
                        <w:hideMark/>
                      </w:tcPr>
                      <w:p w14:paraId="70BDDD62" w14:textId="77777777" w:rsidR="009A77FB" w:rsidRPr="009A77FB" w:rsidRDefault="009A77FB" w:rsidP="009A77FB">
                        <w:r w:rsidRPr="009A77FB">
                          <w:t>Ab sofort läuft die Ausschreibung für Auslandsverwendungen ab dem Schuljahr 2025/26. Lehrkräfte mit Offenheit, Flexibilität und Lernbereitschaft können fachliche, kulturelle und persönliche Erfahrungen sammeln. Informieren Sie sich bei den Online-Veranstaltungen im November und Dezember über die Arbeit an Österreichischen Auslandsschulen.</w:t>
                        </w:r>
                      </w:p>
                    </w:tc>
                  </w:tr>
                </w:tbl>
                <w:p w14:paraId="23C91016" w14:textId="77777777" w:rsidR="009A77FB" w:rsidRPr="009A77FB" w:rsidRDefault="009A77FB" w:rsidP="009A77FB">
                  <w:hyperlink r:id="rId13" w:tooltip="https://newsletter.bmbwf.gv.at/redirect.html?s=t3-6sSv738Tv" w:history="1">
                    <w:r w:rsidRPr="009A77FB">
                      <w:rPr>
                        <w:rStyle w:val="Hyperlink"/>
                      </w:rPr>
                      <w:t>mehr dazu</w:t>
                    </w:r>
                  </w:hyperlink>
                </w:p>
                <w:p w14:paraId="737ADED3" w14:textId="77777777" w:rsidR="009A77FB" w:rsidRPr="009A77FB" w:rsidRDefault="009A77FB" w:rsidP="009A77FB">
                  <w:r w:rsidRPr="009A77FB">
                    <w:lastRenderedPageBreak/>
                    <w:pict w14:anchorId="7F7AFA18">
                      <v:rect id="_x0000_i1034" style="width:470.3pt;height:.75pt" o:hralign="center" o:hrstd="t" o:hrnoshade="t" o:hr="t" fillcolor="#ddd" stroked="f"/>
                    </w:pict>
                  </w:r>
                </w:p>
                <w:p w14:paraId="4BC345C1" w14:textId="77777777" w:rsidR="009A77FB" w:rsidRPr="009A77FB" w:rsidRDefault="009A77FB" w:rsidP="009A77FB">
                  <w:bookmarkStart w:id="4" w:name="x_text3961"/>
                  <w:r w:rsidRPr="009A77FB">
                    <w:t>Die Web-Applikation SRDP-Aufgabenergebnisse zieht um ins Bildungsportal</w:t>
                  </w:r>
                  <w:bookmarkEnd w:id="4"/>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7923D833" w14:textId="77777777">
                    <w:trPr>
                      <w:tblCellSpacing w:w="0" w:type="dxa"/>
                    </w:trPr>
                    <w:tc>
                      <w:tcPr>
                        <w:tcW w:w="1650" w:type="pct"/>
                        <w:hideMark/>
                      </w:tcPr>
                      <w:p w14:paraId="1D57D5C2" w14:textId="0EA8BBBD" w:rsidR="009A77FB" w:rsidRPr="009A77FB" w:rsidRDefault="009A77FB" w:rsidP="009A77FB">
                        <w:r w:rsidRPr="009A77FB">
                          <w:drawing>
                            <wp:inline distT="0" distB="0" distL="0" distR="0" wp14:anchorId="2BD9654E" wp14:editId="0F2EE68C">
                              <wp:extent cx="1524000" cy="885825"/>
                              <wp:effectExtent l="0" t="0" r="0" b="0"/>
                              <wp:docPr id="607101" name="Grafik 12" descr="SR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D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p>
                    </w:tc>
                    <w:tc>
                      <w:tcPr>
                        <w:tcW w:w="3350" w:type="pct"/>
                        <w:hideMark/>
                      </w:tcPr>
                      <w:p w14:paraId="4DB02262" w14:textId="77777777" w:rsidR="009A77FB" w:rsidRPr="009A77FB" w:rsidRDefault="009A77FB" w:rsidP="009A77FB">
                        <w:r w:rsidRPr="009A77FB">
                          <w:t>Ab dem SRDP-Prüfungstermin im Jänner 2025 ist die Web-Applikation „SRDP-Aufgabenergebnisse“ für prüfende Lehrpersonen und Standortleitungen über das Bildungsportal (</w:t>
                        </w:r>
                        <w:proofErr w:type="spellStart"/>
                        <w:r w:rsidRPr="009A77FB">
                          <w:t>BiP</w:t>
                        </w:r>
                        <w:proofErr w:type="spellEnd"/>
                        <w:r w:rsidRPr="009A77FB">
                          <w:t>) unter </w:t>
                        </w:r>
                        <w:hyperlink r:id="rId15" w:tooltip="https://bildung.gv.at" w:history="1">
                          <w:r w:rsidRPr="009A77FB">
                            <w:rPr>
                              <w:rStyle w:val="Hyperlink"/>
                            </w:rPr>
                            <w:t>bildung.gv.at</w:t>
                          </w:r>
                        </w:hyperlink>
                        <w:r w:rsidRPr="009A77FB">
                          <w:t> erreichbar. Für Kontaktpersonen an Erwachsenenbildungsinstituten und Vertretungen der Schulleitungen bleibt alles wie gewohnt: Sie nutzen weiterhin </w:t>
                        </w:r>
                        <w:hyperlink r:id="rId16" w:tooltip="https://eule.bmbwf.gv.at" w:history="1">
                          <w:r w:rsidRPr="009A77FB">
                            <w:rPr>
                              <w:rStyle w:val="Hyperlink"/>
                            </w:rPr>
                            <w:t>eule.bmbwf.gv.at</w:t>
                          </w:r>
                        </w:hyperlink>
                        <w:r w:rsidRPr="009A77FB">
                          <w:t>.</w:t>
                        </w:r>
                      </w:p>
                    </w:tc>
                  </w:tr>
                </w:tbl>
                <w:p w14:paraId="6F2A0B1E" w14:textId="77777777" w:rsidR="009A77FB" w:rsidRPr="009A77FB" w:rsidRDefault="009A77FB" w:rsidP="009A77FB">
                  <w:hyperlink r:id="rId17" w:tooltip="https://newsletter.bmbwf.gv.at/redirect.html?s=W68Z3JZzLF_F" w:history="1">
                    <w:r w:rsidRPr="009A77FB">
                      <w:rPr>
                        <w:rStyle w:val="Hyperlink"/>
                      </w:rPr>
                      <w:t>mehr dazu</w:t>
                    </w:r>
                  </w:hyperlink>
                </w:p>
                <w:p w14:paraId="3AF981FF" w14:textId="77777777" w:rsidR="009A77FB" w:rsidRPr="009A77FB" w:rsidRDefault="009A77FB" w:rsidP="009A77FB">
                  <w:r w:rsidRPr="009A77FB">
                    <w:pict w14:anchorId="4E101B1B">
                      <v:rect id="_x0000_i1036" style="width:470.3pt;height:.75pt" o:hralign="center" o:hrstd="t" o:hrnoshade="t" o:hr="t" fillcolor="#ddd" stroked="f"/>
                    </w:pict>
                  </w:r>
                </w:p>
                <w:p w14:paraId="10FCF678" w14:textId="77777777" w:rsidR="009A77FB" w:rsidRPr="009A77FB" w:rsidRDefault="009A77FB" w:rsidP="009A77FB">
                  <w:bookmarkStart w:id="5" w:name="x_text3914"/>
                  <w:r w:rsidRPr="009A77FB">
                    <w:t xml:space="preserve">Update zur Weiterentwicklung des Mathematik-Unterrichts und der </w:t>
                  </w:r>
                  <w:proofErr w:type="gramStart"/>
                  <w:r w:rsidRPr="009A77FB">
                    <w:t>SRP Mathematik</w:t>
                  </w:r>
                  <w:proofErr w:type="gramEnd"/>
                  <w:r w:rsidRPr="009A77FB">
                    <w:t xml:space="preserve"> (AHS)</w:t>
                  </w:r>
                  <w:bookmarkEnd w:id="5"/>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43F8C751" w14:textId="77777777">
                    <w:trPr>
                      <w:tblCellSpacing w:w="0" w:type="dxa"/>
                    </w:trPr>
                    <w:tc>
                      <w:tcPr>
                        <w:tcW w:w="1650" w:type="pct"/>
                        <w:hideMark/>
                      </w:tcPr>
                      <w:p w14:paraId="53882379" w14:textId="5814B876" w:rsidR="009A77FB" w:rsidRPr="009A77FB" w:rsidRDefault="009A77FB" w:rsidP="009A77FB">
                        <w:r w:rsidRPr="009A77FB">
                          <w:drawing>
                            <wp:inline distT="0" distB="0" distL="0" distR="0" wp14:anchorId="5AECB65F" wp14:editId="7D0A4CBD">
                              <wp:extent cx="1524000" cy="885825"/>
                              <wp:effectExtent l="0" t="0" r="0" b="0"/>
                              <wp:docPr id="1418313010" name="Grafik 11" descr="SR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D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p>
                    </w:tc>
                    <w:tc>
                      <w:tcPr>
                        <w:tcW w:w="3350" w:type="pct"/>
                        <w:hideMark/>
                      </w:tcPr>
                      <w:p w14:paraId="28C5B68B" w14:textId="77777777" w:rsidR="009A77FB" w:rsidRPr="009A77FB" w:rsidRDefault="009A77FB" w:rsidP="009A77FB">
                        <w:r w:rsidRPr="009A77FB">
                          <w:t xml:space="preserve">Um Lehrkräfte über die nächsten Schritte des 3-Stufen-Plans zur Weiterentwicklung des Mathematikunterrichts und der </w:t>
                        </w:r>
                        <w:proofErr w:type="gramStart"/>
                        <w:r w:rsidRPr="009A77FB">
                          <w:t>SRP Mathematik</w:t>
                        </w:r>
                        <w:proofErr w:type="gramEnd"/>
                        <w:r w:rsidRPr="009A77FB">
                          <w:t xml:space="preserve"> (AHS) zu informieren, gibt es hier ein kurzes Update: Unter der Leitung von Univ.-Prof. Michael </w:t>
                        </w:r>
                        <w:proofErr w:type="spellStart"/>
                        <w:r w:rsidRPr="009A77FB">
                          <w:t>Eichmair</w:t>
                        </w:r>
                        <w:proofErr w:type="spellEnd"/>
                        <w:r w:rsidRPr="009A77FB">
                          <w:t xml:space="preserve"> arbeitet die Beratungsgruppe Mathematik an umfassenden Reformen, die 2020/21 gestartet sind. Ab dem Haupttermin 2026/27 erweitern zwei neue Grundkompetenzen zur Normalverteilung (WS 3.4 und WS 3.5) den Grundkompetenzkatalog der </w:t>
                        </w:r>
                        <w:proofErr w:type="gramStart"/>
                        <w:r w:rsidRPr="009A77FB">
                          <w:t>SRP Mathematik</w:t>
                        </w:r>
                        <w:proofErr w:type="gramEnd"/>
                        <w:r w:rsidRPr="009A77FB">
                          <w:t xml:space="preserve"> (AHS). Zudem werden die Antwortformate der </w:t>
                        </w:r>
                        <w:proofErr w:type="gramStart"/>
                        <w:r w:rsidRPr="009A77FB">
                          <w:t>SRP Mathematik</w:t>
                        </w:r>
                        <w:proofErr w:type="gramEnd"/>
                        <w:r w:rsidRPr="009A77FB">
                          <w:t xml:space="preserve"> (AHS) und der SRDP Angewandte Mathematik (BHS) harmonisiert. Einheitliche Handreichungen für beide Prüfungsformate stehen ab Mai 2029 zur Verfügung.</w:t>
                        </w:r>
                      </w:p>
                    </w:tc>
                  </w:tr>
                </w:tbl>
                <w:p w14:paraId="3A033994" w14:textId="77777777" w:rsidR="009A77FB" w:rsidRPr="009A77FB" w:rsidRDefault="009A77FB" w:rsidP="009A77FB">
                  <w:hyperlink r:id="rId18" w:tooltip="https://newsletter.bmbwf.gv.at/redirect.html?s=ELl7joFOwAkt" w:history="1">
                    <w:r w:rsidRPr="009A77FB">
                      <w:rPr>
                        <w:rStyle w:val="Hyperlink"/>
                      </w:rPr>
                      <w:t>mehr dazu</w:t>
                    </w:r>
                  </w:hyperlink>
                </w:p>
                <w:p w14:paraId="28C4C3B9" w14:textId="77777777" w:rsidR="009A77FB" w:rsidRPr="009A77FB" w:rsidRDefault="009A77FB" w:rsidP="009A77FB">
                  <w:r w:rsidRPr="009A77FB">
                    <w:pict w14:anchorId="461D3301">
                      <v:rect id="_x0000_i1038" style="width:470.3pt;height:.75pt" o:hralign="center" o:hrstd="t" o:hrnoshade="t" o:hr="t" fillcolor="#ddd" stroked="f"/>
                    </w:pict>
                  </w:r>
                </w:p>
                <w:p w14:paraId="1F956BB2" w14:textId="77777777" w:rsidR="009A77FB" w:rsidRPr="009A77FB" w:rsidRDefault="009A77FB" w:rsidP="009A77FB">
                  <w:bookmarkStart w:id="6" w:name="x_text3929"/>
                  <w:r w:rsidRPr="009A77FB">
                    <w:t>Neue Lehrpläne für den sonderpädagogischen Bereich ab dem Schuljahr 2025/2026</w:t>
                  </w:r>
                  <w:bookmarkEnd w:id="6"/>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6F64924B" w14:textId="77777777">
                    <w:trPr>
                      <w:tblCellSpacing w:w="0" w:type="dxa"/>
                    </w:trPr>
                    <w:tc>
                      <w:tcPr>
                        <w:tcW w:w="1650" w:type="pct"/>
                        <w:hideMark/>
                      </w:tcPr>
                      <w:p w14:paraId="42515D30" w14:textId="009E27EA" w:rsidR="009A77FB" w:rsidRPr="009A77FB" w:rsidRDefault="009A77FB" w:rsidP="009A77FB">
                        <w:r w:rsidRPr="009A77FB">
                          <w:lastRenderedPageBreak/>
                          <w:drawing>
                            <wp:inline distT="0" distB="0" distL="0" distR="0" wp14:anchorId="693A74B1" wp14:editId="2F738035">
                              <wp:extent cx="1524000" cy="1143000"/>
                              <wp:effectExtent l="0" t="0" r="0" b="0"/>
                              <wp:docPr id="1415669318" name="Grafik 10" descr="Ein Bild, das Kerze, Büroausstattung, Fahrrad, Holz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69318" name="Grafik 10" descr="Ein Bild, das Kerze, Büroausstattung, Fahrrad, Holzstif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3350" w:type="pct"/>
                        <w:hideMark/>
                      </w:tcPr>
                      <w:p w14:paraId="4670C5E4" w14:textId="77777777" w:rsidR="009A77FB" w:rsidRPr="009A77FB" w:rsidRDefault="009A77FB" w:rsidP="009A77FB">
                        <w:r w:rsidRPr="009A77FB">
                          <w:t>Im Schuljahr 2023/24 traten neue Lehrpläne für Volksschulen, Mittelschulen und AHS-Unterstufen in Kraft, die den Fokus verstärkt auf Kompetenzorientierung legen. Diese Reform bildet die Basis für die Modernisierung der Lehrpläne im sonderpädagogischen Bereich ab 2025/26. Mit weitgehend einheitlichen Stundentafeln, Fächerbezeichnungen und Inhalten wird inklusiver Unterricht erleichtert und allen Schülerinnen und Schülern der Zugang zu allen Bildungsinhalten ermöglicht. Flexible Förderschwerpunkte und angepasste Kompetenzziele sichern eine individuelle Unterstützung.</w:t>
                        </w:r>
                      </w:p>
                    </w:tc>
                  </w:tr>
                </w:tbl>
                <w:p w14:paraId="004D389E" w14:textId="77777777" w:rsidR="009A77FB" w:rsidRPr="009A77FB" w:rsidRDefault="009A77FB" w:rsidP="009A77FB">
                  <w:hyperlink r:id="rId20" w:tooltip="https://newsletter.bmbwf.gv.at/redirect.html?s=imR9a1sMOQTn" w:history="1">
                    <w:r w:rsidRPr="009A77FB">
                      <w:rPr>
                        <w:rStyle w:val="Hyperlink"/>
                      </w:rPr>
                      <w:t>mehr dazu</w:t>
                    </w:r>
                  </w:hyperlink>
                </w:p>
                <w:p w14:paraId="2D81B222" w14:textId="77777777" w:rsidR="009A77FB" w:rsidRPr="009A77FB" w:rsidRDefault="009A77FB" w:rsidP="009A77FB">
                  <w:r w:rsidRPr="009A77FB">
                    <w:pict w14:anchorId="029BA783">
                      <v:rect id="_x0000_i1040" style="width:470.3pt;height:.75pt" o:hralign="center" o:hrstd="t" o:hrnoshade="t" o:hr="t" fillcolor="#ddd" stroked="f"/>
                    </w:pict>
                  </w:r>
                </w:p>
                <w:p w14:paraId="639B86B0" w14:textId="77777777" w:rsidR="009A77FB" w:rsidRPr="009A77FB" w:rsidRDefault="009A77FB" w:rsidP="009A77FB">
                  <w:bookmarkStart w:id="7" w:name="x_text3901"/>
                  <w:r w:rsidRPr="009A77FB">
                    <w:t>Rundschreiben</w:t>
                  </w:r>
                  <w:bookmarkEnd w:id="7"/>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64E2115E" w14:textId="77777777">
                    <w:trPr>
                      <w:tblCellSpacing w:w="0" w:type="dxa"/>
                    </w:trPr>
                    <w:tc>
                      <w:tcPr>
                        <w:tcW w:w="1650" w:type="pct"/>
                        <w:hideMark/>
                      </w:tcPr>
                      <w:p w14:paraId="608AE8F9" w14:textId="0299D7B5" w:rsidR="009A77FB" w:rsidRPr="009A77FB" w:rsidRDefault="009A77FB" w:rsidP="009A77FB">
                        <w:r w:rsidRPr="009A77FB">
                          <w:drawing>
                            <wp:inline distT="0" distB="0" distL="0" distR="0" wp14:anchorId="2875EDB6" wp14:editId="54F0A840">
                              <wp:extent cx="1524000" cy="1009650"/>
                              <wp:effectExtent l="0" t="0" r="0" b="0"/>
                              <wp:docPr id="1680976583" name="Grafik 9" descr="Rundschreibendaten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undschreibendatenban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4C188CE5" w14:textId="77777777" w:rsidR="009A77FB" w:rsidRPr="009A77FB" w:rsidRDefault="009A77FB" w:rsidP="009A77FB">
                        <w:hyperlink r:id="rId22" w:tooltip="https://rundschreiben.bmbwf.gv.at/rundschreiben/?id=1424" w:history="1">
                          <w:r w:rsidRPr="009A77FB">
                            <w:rPr>
                              <w:rStyle w:val="Hyperlink"/>
                            </w:rPr>
                            <w:t>Rundschreiben Nr. 41/2024 für den Ressortschwerpunkt „Hinschauen statt Wegschauen – Gemeinsam gegen Gewalt und Aggression für eine sichere Schule“</w:t>
                          </w:r>
                        </w:hyperlink>
                        <w:r w:rsidRPr="009A77FB">
                          <w:br/>
                          <w:t>Dieses Rundschreiben richtet sich an alle Schulen.</w:t>
                        </w:r>
                        <w:r w:rsidRPr="009A77FB">
                          <w:br/>
                        </w:r>
                        <w:r w:rsidRPr="009A77FB">
                          <w:br/>
                        </w:r>
                        <w:hyperlink r:id="rId23" w:tooltip="https://rundschreiben.bmbwf.gv.at/rundschreiben/?id=1425" w:history="1">
                          <w:r w:rsidRPr="009A77FB">
                            <w:rPr>
                              <w:rStyle w:val="Hyperlink"/>
                            </w:rPr>
                            <w:t>Rundschreiben Nr. 35/2024: Initiative "Die Zauberflöte für Kinder" des BMBWF im Schuljahr 2024/25</w:t>
                          </w:r>
                        </w:hyperlink>
                        <w:r w:rsidRPr="009A77FB">
                          <w:br/>
                          <w:t>Dieses Rundschreiben richtet sich an alle Volksschulen und Praxisvolksschulen (4. Schulstufe), Mittelschulen und Allgemeinbildenden höheren Schulen (5. Schulstufe).</w:t>
                        </w:r>
                        <w:r w:rsidRPr="009A77FB">
                          <w:br/>
                        </w:r>
                        <w:r w:rsidRPr="009A77FB">
                          <w:br/>
                        </w:r>
                        <w:hyperlink r:id="rId24" w:tooltip="https://rundschreiben.bmbwf.gv.at/rundschreiben/?id=1426" w:history="1">
                          <w:r w:rsidRPr="009A77FB">
                            <w:rPr>
                              <w:rStyle w:val="Hyperlink"/>
                            </w:rPr>
                            <w:t>Rundschreiben Nr. 32/2024: Schulschach-Bundesfinalwettbewerbe des BMBWF im Schuljahr 2024/25</w:t>
                          </w:r>
                        </w:hyperlink>
                        <w:r w:rsidRPr="009A77FB">
                          <w:br/>
                          <w:t xml:space="preserve">Dieses Rundschreiben richtet sich an alle </w:t>
                        </w:r>
                        <w:proofErr w:type="spellStart"/>
                        <w:r w:rsidRPr="009A77FB">
                          <w:t>alle</w:t>
                        </w:r>
                        <w:proofErr w:type="spellEnd"/>
                        <w:r w:rsidRPr="009A77FB">
                          <w:t xml:space="preserve"> Volksschulen, Sekundarstufe I und Sekundarstufe II.</w:t>
                        </w:r>
                      </w:p>
                    </w:tc>
                  </w:tr>
                </w:tbl>
                <w:p w14:paraId="4FC13DBB" w14:textId="77777777" w:rsidR="009A77FB" w:rsidRPr="009A77FB" w:rsidRDefault="009A77FB" w:rsidP="009A77FB">
                  <w:r w:rsidRPr="009A77FB">
                    <w:pict w14:anchorId="4F2D1D89">
                      <v:rect id="_x0000_i1042" style="width:470.3pt;height:.75pt" o:hralign="center" o:hrstd="t" o:hrnoshade="t" o:hr="t" fillcolor="#ddd" stroked="f"/>
                    </w:pict>
                  </w:r>
                </w:p>
                <w:p w14:paraId="436A0F11" w14:textId="77777777" w:rsidR="009A77FB" w:rsidRPr="009A77FB" w:rsidRDefault="009A77FB" w:rsidP="009A77FB">
                  <w:bookmarkStart w:id="8" w:name="x_text3930"/>
                  <w:r w:rsidRPr="009A77FB">
                    <w:lastRenderedPageBreak/>
                    <w:t>Lesen</w:t>
                  </w:r>
                  <w:bookmarkEnd w:id="8"/>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16566881" w14:textId="77777777">
                    <w:trPr>
                      <w:tblCellSpacing w:w="0" w:type="dxa"/>
                    </w:trPr>
                    <w:tc>
                      <w:tcPr>
                        <w:tcW w:w="1650" w:type="pct"/>
                        <w:hideMark/>
                      </w:tcPr>
                      <w:p w14:paraId="56D0DABD" w14:textId="66C93153" w:rsidR="009A77FB" w:rsidRPr="009A77FB" w:rsidRDefault="009A77FB" w:rsidP="009A77FB">
                        <w:r w:rsidRPr="009A77FB">
                          <w:drawing>
                            <wp:inline distT="0" distB="0" distL="0" distR="0" wp14:anchorId="10D2E704" wp14:editId="0AEA2DEE">
                              <wp:extent cx="1524000" cy="1009650"/>
                              <wp:effectExtent l="0" t="0" r="0" b="0"/>
                              <wp:docPr id="1433817217" name="Grafik 8" descr="Lesen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en (2023/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25645D27" w14:textId="77777777" w:rsidR="009A77FB" w:rsidRPr="009A77FB" w:rsidRDefault="009A77FB" w:rsidP="009A77FB">
                        <w:r w:rsidRPr="009A77FB">
                          <w:rPr>
                            <w:b/>
                            <w:bCs/>
                          </w:rPr>
                          <w:t xml:space="preserve">AVISO: </w:t>
                        </w:r>
                        <w:proofErr w:type="gramStart"/>
                        <w:r w:rsidRPr="009A77FB">
                          <w:rPr>
                            <w:b/>
                            <w:bCs/>
                          </w:rPr>
                          <w:t>Österreichischer</w:t>
                        </w:r>
                        <w:proofErr w:type="gramEnd"/>
                        <w:r w:rsidRPr="009A77FB">
                          <w:rPr>
                            <w:b/>
                            <w:bCs/>
                          </w:rPr>
                          <w:t xml:space="preserve"> Vorlesetag am 28. März 2025 – Save </w:t>
                        </w:r>
                        <w:proofErr w:type="spellStart"/>
                        <w:r w:rsidRPr="009A77FB">
                          <w:rPr>
                            <w:b/>
                            <w:bCs/>
                          </w:rPr>
                          <w:t>the</w:t>
                        </w:r>
                        <w:proofErr w:type="spellEnd"/>
                        <w:r w:rsidRPr="009A77FB">
                          <w:rPr>
                            <w:b/>
                            <w:bCs/>
                          </w:rPr>
                          <w:t xml:space="preserve"> Date!</w:t>
                        </w:r>
                        <w:r w:rsidRPr="009A77FB">
                          <w:br/>
                          <w:t xml:space="preserve">Am 28. März 2025 findet erneut der Österreichische Vorlesetag statt. Wir laden alle Schulen herzlich ein teilzunehmen! Merken Sie sich schon jetzt den Termin vor und teilen Sie das „Save </w:t>
                        </w:r>
                        <w:proofErr w:type="spellStart"/>
                        <w:r w:rsidRPr="009A77FB">
                          <w:t>the</w:t>
                        </w:r>
                        <w:proofErr w:type="spellEnd"/>
                        <w:r w:rsidRPr="009A77FB">
                          <w:t xml:space="preserve"> Date“ mit interessierten Personen.</w:t>
                        </w:r>
                        <w:r w:rsidRPr="009A77FB">
                          <w:br/>
                        </w:r>
                        <w:hyperlink r:id="rId26" w:tooltip="https://www.bmbwf.gv.at/Themen/schule/zrp/lesen/vorlesetag.html" w:history="1">
                          <w:r w:rsidRPr="009A77FB">
                            <w:rPr>
                              <w:rStyle w:val="Hyperlink"/>
                            </w:rPr>
                            <w:t>Vorlesetag</w:t>
                          </w:r>
                        </w:hyperlink>
                        <w:r w:rsidRPr="009A77FB">
                          <w:br/>
                        </w:r>
                        <w:r w:rsidRPr="009A77FB">
                          <w:br/>
                        </w:r>
                        <w:proofErr w:type="spellStart"/>
                        <w:r w:rsidRPr="009A77FB">
                          <w:rPr>
                            <w:b/>
                            <w:bCs/>
                          </w:rPr>
                          <w:t>eLecture</w:t>
                        </w:r>
                        <w:proofErr w:type="spellEnd"/>
                        <w:r w:rsidRPr="009A77FB">
                          <w:rPr>
                            <w:b/>
                            <w:bCs/>
                          </w:rPr>
                          <w:t>-Reihe #LesenDigital</w:t>
                        </w:r>
                        <w:r w:rsidRPr="009A77FB">
                          <w:br/>
                          <w:t xml:space="preserve">Wie verändert sich die Leseförderung durch einen digitalisierten Unterricht? Der erste Teil der </w:t>
                        </w:r>
                        <w:proofErr w:type="spellStart"/>
                        <w:r w:rsidRPr="009A77FB">
                          <w:t>eLecture</w:t>
                        </w:r>
                        <w:proofErr w:type="spellEnd"/>
                        <w:r w:rsidRPr="009A77FB">
                          <w:t>-Reihe #LesenDigital der Virtuellen PH widmet sich am 27.11.2024 dem Thema „Leseförderung in allen Fächern und Digitalisierung“ in der Sekundarstufe.</w:t>
                        </w:r>
                        <w:r w:rsidRPr="009A77FB">
                          <w:br/>
                        </w:r>
                        <w:hyperlink r:id="rId27" w:tooltip="https://www.virtuelle-ph.at/veranstaltung/electure-lesefoerderung-in-allen-faechern-digitalisierung-eine-einfuehrung-3/" w:history="1">
                          <w:r w:rsidRPr="009A77FB">
                            <w:rPr>
                              <w:rStyle w:val="Hyperlink"/>
                            </w:rPr>
                            <w:t>#LesenDigital</w:t>
                          </w:r>
                        </w:hyperlink>
                      </w:p>
                    </w:tc>
                  </w:tr>
                </w:tbl>
                <w:p w14:paraId="0BF3CD58" w14:textId="77777777" w:rsidR="009A77FB" w:rsidRPr="009A77FB" w:rsidRDefault="009A77FB" w:rsidP="009A77FB">
                  <w:r w:rsidRPr="009A77FB">
                    <w:pict w14:anchorId="05F53A8E">
                      <v:rect id="_x0000_i1044" style="width:470.3pt;height:.75pt" o:hralign="center" o:hrstd="t" o:hrnoshade="t" o:hr="t" fillcolor="#ddd" stroked="f"/>
                    </w:pict>
                  </w:r>
                </w:p>
                <w:p w14:paraId="23197074" w14:textId="77777777" w:rsidR="009A77FB" w:rsidRPr="009A77FB" w:rsidRDefault="009A77FB" w:rsidP="009A77FB">
                  <w:pPr>
                    <w:rPr>
                      <w:lang w:val="en-GB"/>
                    </w:rPr>
                  </w:pPr>
                  <w:bookmarkStart w:id="9" w:name="x_text3902"/>
                  <w:r w:rsidRPr="009A77FB">
                    <w:rPr>
                      <w:lang w:val="en-GB"/>
                    </w:rPr>
                    <w:t xml:space="preserve">Wissenschaft </w:t>
                  </w:r>
                  <w:proofErr w:type="spellStart"/>
                  <w:r w:rsidRPr="009A77FB">
                    <w:rPr>
                      <w:lang w:val="en-GB"/>
                    </w:rPr>
                    <w:t>trifft</w:t>
                  </w:r>
                  <w:proofErr w:type="spellEnd"/>
                  <w:r w:rsidRPr="009A77FB">
                    <w:rPr>
                      <w:lang w:val="en-GB"/>
                    </w:rPr>
                    <w:t xml:space="preserve"> Schule: VISTA Christmas Science Show</w:t>
                  </w:r>
                  <w:bookmarkEnd w:id="9"/>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5072BFF7" w14:textId="77777777">
                    <w:trPr>
                      <w:tblCellSpacing w:w="0" w:type="dxa"/>
                    </w:trPr>
                    <w:tc>
                      <w:tcPr>
                        <w:tcW w:w="1650" w:type="pct"/>
                        <w:hideMark/>
                      </w:tcPr>
                      <w:p w14:paraId="21FBD08F" w14:textId="31AA1AA1" w:rsidR="009A77FB" w:rsidRPr="009A77FB" w:rsidRDefault="009A77FB" w:rsidP="009A77FB">
                        <w:r w:rsidRPr="009A77FB">
                          <w:drawing>
                            <wp:inline distT="0" distB="0" distL="0" distR="0" wp14:anchorId="2BD4129C" wp14:editId="7029B3F8">
                              <wp:extent cx="1524000" cy="1009650"/>
                              <wp:effectExtent l="0" t="0" r="0" b="0"/>
                              <wp:docPr id="1124208168" name="Grafik 7" descr="Wissenschaft trifft Schule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ssenschaft trifft Schule (2023/0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547CBD30" w14:textId="77777777" w:rsidR="009A77FB" w:rsidRPr="009A77FB" w:rsidRDefault="009A77FB" w:rsidP="009A77FB">
                        <w:r w:rsidRPr="009A77FB">
                          <w:t>Bereit für das coolste Experimente-Feuerwerk vor Weihnachten? Am 19. Dezember 2024 findet die große VISTA Christmas Science Show statt. Sie und Ihre Schülerinnen und Schüler können aus dem Klassenzimmer im Livestream teilnehmen. Jetzt gleich anmelden!</w:t>
                        </w:r>
                      </w:p>
                    </w:tc>
                  </w:tr>
                </w:tbl>
                <w:p w14:paraId="5D3B454A" w14:textId="77777777" w:rsidR="009A77FB" w:rsidRPr="009A77FB" w:rsidRDefault="009A77FB" w:rsidP="009A77FB">
                  <w:hyperlink r:id="rId29" w:tooltip="https://newsletter.bmbwf.gv.at/redirect.html?s=64QaEQZfEgkS" w:history="1">
                    <w:r w:rsidRPr="009A77FB">
                      <w:rPr>
                        <w:rStyle w:val="Hyperlink"/>
                      </w:rPr>
                      <w:t>mehr dazu</w:t>
                    </w:r>
                  </w:hyperlink>
                </w:p>
                <w:p w14:paraId="45DE0A90" w14:textId="77777777" w:rsidR="009A77FB" w:rsidRPr="009A77FB" w:rsidRDefault="009A77FB" w:rsidP="009A77FB">
                  <w:r w:rsidRPr="009A77FB">
                    <w:pict w14:anchorId="01DAA6EB">
                      <v:rect id="_x0000_i1046" style="width:470.3pt;height:.75pt" o:hralign="center" o:hrstd="t" o:hrnoshade="t" o:hr="t" fillcolor="#ddd" stroked="f"/>
                    </w:pict>
                  </w:r>
                </w:p>
                <w:p w14:paraId="7248189E" w14:textId="77777777" w:rsidR="009A77FB" w:rsidRPr="009A77FB" w:rsidRDefault="009A77FB" w:rsidP="009A77FB">
                  <w:bookmarkStart w:id="10" w:name="x_text3903"/>
                  <w:r w:rsidRPr="009A77FB">
                    <w:t>Künstliche Intelligenz: Von KI lernen, mit KI lehren: Die Zukunft der Hochschulbildung</w:t>
                  </w:r>
                  <w:bookmarkEnd w:id="10"/>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770B4B24" w14:textId="77777777">
                    <w:trPr>
                      <w:tblCellSpacing w:w="0" w:type="dxa"/>
                    </w:trPr>
                    <w:tc>
                      <w:tcPr>
                        <w:tcW w:w="1650" w:type="pct"/>
                        <w:hideMark/>
                      </w:tcPr>
                      <w:p w14:paraId="52E54B3A" w14:textId="14D8898C" w:rsidR="009A77FB" w:rsidRPr="009A77FB" w:rsidRDefault="009A77FB" w:rsidP="009A77FB">
                        <w:r w:rsidRPr="009A77FB">
                          <w:drawing>
                            <wp:inline distT="0" distB="0" distL="0" distR="0" wp14:anchorId="3C423A59" wp14:editId="654A5848">
                              <wp:extent cx="1524000" cy="1143000"/>
                              <wp:effectExtent l="0" t="0" r="0" b="0"/>
                              <wp:docPr id="526427130" name="Grafik 6" descr="Künstliche Intelligenz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ünstliche Intelligenz (2023/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3350" w:type="pct"/>
                        <w:hideMark/>
                      </w:tcPr>
                      <w:p w14:paraId="4183C437" w14:textId="77777777" w:rsidR="009A77FB" w:rsidRPr="009A77FB" w:rsidRDefault="009A77FB" w:rsidP="009A77FB">
                        <w:r w:rsidRPr="009A77FB">
                          <w:t xml:space="preserve">Im Rahmen des Projektes wird der Frage nachgegangen, wie der aktuelle Stand bei der Nutzung von KI an österreichischen Hochschulen aussieht und welche Handlungsoptionen sich beim Einsatz von KI in der Hochschullehre anbieten. Die Erkenntnisse des Projekts bieten ebenso wertvolle Impulse für die Unterrichtsgestaltung, </w:t>
                        </w:r>
                        <w:r w:rsidRPr="009A77FB">
                          <w:lastRenderedPageBreak/>
                          <w:t>insbesondere in der Sekundarstufe II, in Bezug auf die Vorbereitung der Schülerinnen und Schülern auf den Umgang mit digitalen Tools in der weiteren akademischen Ausbildung.</w:t>
                        </w:r>
                      </w:p>
                    </w:tc>
                  </w:tr>
                </w:tbl>
                <w:p w14:paraId="074EAA21" w14:textId="77777777" w:rsidR="009A77FB" w:rsidRPr="009A77FB" w:rsidRDefault="009A77FB" w:rsidP="009A77FB">
                  <w:hyperlink r:id="rId31" w:tooltip="https://newsletter.bmbwf.gv.at/redirect.html?s=2fgIx6ReT--K" w:history="1">
                    <w:r w:rsidRPr="009A77FB">
                      <w:rPr>
                        <w:rStyle w:val="Hyperlink"/>
                      </w:rPr>
                      <w:t>mehr dazu</w:t>
                    </w:r>
                  </w:hyperlink>
                </w:p>
                <w:p w14:paraId="6FE165D0" w14:textId="77777777" w:rsidR="009A77FB" w:rsidRPr="009A77FB" w:rsidRDefault="009A77FB" w:rsidP="009A77FB">
                  <w:r w:rsidRPr="009A77FB">
                    <w:pict w14:anchorId="53C52BEB">
                      <v:rect id="_x0000_i1048" style="width:470.3pt;height:.75pt" o:hralign="center" o:hrstd="t" o:hrnoshade="t" o:hr="t" fillcolor="#ddd" stroked="f"/>
                    </w:pict>
                  </w:r>
                </w:p>
                <w:p w14:paraId="350BD4C0" w14:textId="77777777" w:rsidR="009A77FB" w:rsidRPr="009A77FB" w:rsidRDefault="009A77FB" w:rsidP="009A77FB">
                  <w:bookmarkStart w:id="11" w:name="x_text3904"/>
                  <w:r w:rsidRPr="009A77FB">
                    <w:t>Initiativen &amp; Projekte</w:t>
                  </w:r>
                  <w:bookmarkEnd w:id="11"/>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688825BB" w14:textId="77777777">
                    <w:trPr>
                      <w:tblCellSpacing w:w="0" w:type="dxa"/>
                    </w:trPr>
                    <w:tc>
                      <w:tcPr>
                        <w:tcW w:w="1650" w:type="pct"/>
                        <w:hideMark/>
                      </w:tcPr>
                      <w:p w14:paraId="21ED8AB7" w14:textId="7B4DE365" w:rsidR="009A77FB" w:rsidRPr="009A77FB" w:rsidRDefault="009A77FB" w:rsidP="009A77FB">
                        <w:r w:rsidRPr="009A77FB">
                          <w:drawing>
                            <wp:inline distT="0" distB="0" distL="0" distR="0" wp14:anchorId="4E32C112" wp14:editId="549B4F9F">
                              <wp:extent cx="1524000" cy="1009650"/>
                              <wp:effectExtent l="0" t="0" r="0" b="0"/>
                              <wp:docPr id="1459837612" name="Grafik 5" descr="Initiativen &amp; Projekte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itiativen &amp; Projekte (2023/0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30EF5477" w14:textId="77777777" w:rsidR="009A77FB" w:rsidRPr="009A77FB" w:rsidRDefault="009A77FB" w:rsidP="009A77FB">
                        <w:proofErr w:type="spellStart"/>
                        <w:r w:rsidRPr="009A77FB">
                          <w:rPr>
                            <w:b/>
                            <w:bCs/>
                          </w:rPr>
                          <w:t>culture</w:t>
                        </w:r>
                        <w:proofErr w:type="spellEnd"/>
                        <w:r w:rsidRPr="009A77FB">
                          <w:rPr>
                            <w:b/>
                            <w:bCs/>
                          </w:rPr>
                          <w:t xml:space="preserve"> </w:t>
                        </w:r>
                        <w:proofErr w:type="spellStart"/>
                        <w:r w:rsidRPr="009A77FB">
                          <w:rPr>
                            <w:b/>
                            <w:bCs/>
                          </w:rPr>
                          <w:t>connected</w:t>
                        </w:r>
                        <w:proofErr w:type="spellEnd"/>
                        <w:r w:rsidRPr="009A77FB">
                          <w:rPr>
                            <w:b/>
                            <w:bCs/>
                          </w:rPr>
                          <w:t>: Einreichfrist nicht verpassen</w:t>
                        </w:r>
                        <w:r w:rsidRPr="009A77FB">
                          <w:br/>
                          <w:t>Noch bis zum 2. Dezember 2024 können kulturelle Aktivitäten aus allen Kunstsparten in Zusammenarbeit mit Kultureinrichtungen eingereicht werden.</w:t>
                        </w:r>
                        <w:r w:rsidRPr="009A77FB">
                          <w:br/>
                        </w:r>
                        <w:hyperlink r:id="rId33" w:tooltip="https://kulturvermittlung.oead.at/de/culture-connected" w:history="1">
                          <w:proofErr w:type="spellStart"/>
                          <w:r w:rsidRPr="009A77FB">
                            <w:rPr>
                              <w:rStyle w:val="Hyperlink"/>
                            </w:rPr>
                            <w:t>culture</w:t>
                          </w:r>
                          <w:proofErr w:type="spellEnd"/>
                          <w:r w:rsidRPr="009A77FB">
                            <w:rPr>
                              <w:rStyle w:val="Hyperlink"/>
                            </w:rPr>
                            <w:t xml:space="preserve"> </w:t>
                          </w:r>
                          <w:proofErr w:type="spellStart"/>
                          <w:r w:rsidRPr="009A77FB">
                            <w:rPr>
                              <w:rStyle w:val="Hyperlink"/>
                            </w:rPr>
                            <w:t>connected</w:t>
                          </w:r>
                          <w:proofErr w:type="spellEnd"/>
                        </w:hyperlink>
                        <w:r w:rsidRPr="009A77FB">
                          <w:br/>
                        </w:r>
                        <w:r w:rsidRPr="009A77FB">
                          <w:br/>
                        </w:r>
                        <w:proofErr w:type="spellStart"/>
                        <w:r w:rsidRPr="009A77FB">
                          <w:rPr>
                            <w:b/>
                            <w:bCs/>
                          </w:rPr>
                          <w:t>MoneyMatters</w:t>
                        </w:r>
                        <w:proofErr w:type="spellEnd"/>
                        <w:r w:rsidRPr="009A77FB">
                          <w:rPr>
                            <w:b/>
                            <w:bCs/>
                          </w:rPr>
                          <w:t>: Kostenloses Finanzbildungsangebot</w:t>
                        </w:r>
                        <w:r w:rsidRPr="009A77FB">
                          <w:br/>
                        </w:r>
                        <w:proofErr w:type="spellStart"/>
                        <w:r w:rsidRPr="009A77FB">
                          <w:t>MoneyMatters</w:t>
                        </w:r>
                        <w:proofErr w:type="spellEnd"/>
                        <w:r w:rsidRPr="009A77FB">
                          <w:t xml:space="preserve"> ist ein </w:t>
                        </w:r>
                        <w:proofErr w:type="spellStart"/>
                        <w:r w:rsidRPr="009A77FB">
                          <w:t>Blended</w:t>
                        </w:r>
                        <w:proofErr w:type="spellEnd"/>
                        <w:r w:rsidRPr="009A77FB">
                          <w:t xml:space="preserve"> Learning Programm für die 8. Klasse und vermittelt Wirtschafts- und Finanzwissen durch Workshops und interaktive Online-Inhalte. Erfolgreiche Absolventinnen und Absolventen erhalten ein Zertifikat.</w:t>
                        </w:r>
                        <w:r w:rsidRPr="009A77FB">
                          <w:br/>
                        </w:r>
                        <w:hyperlink r:id="rId34" w:tooltip="https://moneymatters.gwm.museum/" w:history="1">
                          <w:proofErr w:type="spellStart"/>
                          <w:r w:rsidRPr="009A77FB">
                            <w:rPr>
                              <w:rStyle w:val="Hyperlink"/>
                            </w:rPr>
                            <w:t>MoneyMatters</w:t>
                          </w:r>
                          <w:proofErr w:type="spellEnd"/>
                          <w:r w:rsidRPr="009A77FB">
                            <w:rPr>
                              <w:rStyle w:val="Hyperlink"/>
                            </w:rPr>
                            <w:t xml:space="preserve"> - Wirtschaft und Finanzen einfach verstehen (gwm.museum)</w:t>
                          </w:r>
                        </w:hyperlink>
                      </w:p>
                    </w:tc>
                  </w:tr>
                </w:tbl>
                <w:p w14:paraId="4A1C623B" w14:textId="77777777" w:rsidR="009A77FB" w:rsidRPr="009A77FB" w:rsidRDefault="009A77FB" w:rsidP="009A77FB">
                  <w:r w:rsidRPr="009A77FB">
                    <w:pict w14:anchorId="0C259C32">
                      <v:rect id="_x0000_i1050" style="width:470.3pt;height:.75pt" o:hralign="center" o:hrstd="t" o:hrnoshade="t" o:hr="t" fillcolor="#ddd" stroked="f"/>
                    </w:pict>
                  </w:r>
                </w:p>
                <w:p w14:paraId="3DF14F78" w14:textId="77777777" w:rsidR="009A77FB" w:rsidRPr="009A77FB" w:rsidRDefault="009A77FB" w:rsidP="009A77FB">
                  <w:bookmarkStart w:id="12" w:name="x_text3905"/>
                  <w:r w:rsidRPr="009A77FB">
                    <w:t>Wettbewerbe</w:t>
                  </w:r>
                  <w:bookmarkEnd w:id="12"/>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1A15EF66" w14:textId="77777777">
                    <w:trPr>
                      <w:tblCellSpacing w:w="0" w:type="dxa"/>
                    </w:trPr>
                    <w:tc>
                      <w:tcPr>
                        <w:tcW w:w="1650" w:type="pct"/>
                        <w:hideMark/>
                      </w:tcPr>
                      <w:p w14:paraId="6D8286DB" w14:textId="1250EA01" w:rsidR="009A77FB" w:rsidRPr="009A77FB" w:rsidRDefault="009A77FB" w:rsidP="009A77FB">
                        <w:r w:rsidRPr="009A77FB">
                          <w:drawing>
                            <wp:inline distT="0" distB="0" distL="0" distR="0" wp14:anchorId="19E5D6AD" wp14:editId="27787E8B">
                              <wp:extent cx="1524000" cy="1047750"/>
                              <wp:effectExtent l="0" t="0" r="0" b="0"/>
                              <wp:docPr id="1988763506" name="Grafik 4" descr="Wettbewerbe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ttbewerbe (2023/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p>
                    </w:tc>
                    <w:tc>
                      <w:tcPr>
                        <w:tcW w:w="3350" w:type="pct"/>
                        <w:hideMark/>
                      </w:tcPr>
                      <w:p w14:paraId="437C7EB6" w14:textId="77777777" w:rsidR="009A77FB" w:rsidRPr="009A77FB" w:rsidRDefault="009A77FB" w:rsidP="009A77FB">
                        <w:r w:rsidRPr="009A77FB">
                          <w:t xml:space="preserve">Bis 2. Dezember können BMHS die Zertifizierung „hum unternehmen“ beantragen. HTL-Schülerinnen und -Schüler haben bis 10. Januar 2025 Zeit, ihre Diplomarbeiten für den Bosch Innovationspreis einzureichen und Handelsakademien starten ab 7. Januar mit dem </w:t>
                        </w:r>
                        <w:proofErr w:type="spellStart"/>
                        <w:proofErr w:type="gramStart"/>
                        <w:r w:rsidRPr="009A77FB">
                          <w:t>digi.PREcheck</w:t>
                        </w:r>
                        <w:proofErr w:type="spellEnd"/>
                        <w:proofErr w:type="gramEnd"/>
                        <w:r w:rsidRPr="009A77FB">
                          <w:t xml:space="preserve"> hak in die Vorbereitung für den Informatik-Wettbewerb. Schulen und Kindergärten können sich um das MINT-Gütesiegel 2025-2028 bewerben, und AHS-Schülerinnen und -Schüler der 11. Schulstufe zeigen ihr Können beim </w:t>
                        </w:r>
                        <w:proofErr w:type="spellStart"/>
                        <w:r w:rsidRPr="009A77FB">
                          <w:t>GEOnomic</w:t>
                        </w:r>
                        <w:proofErr w:type="spellEnd"/>
                        <w:r w:rsidRPr="009A77FB">
                          <w:t xml:space="preserve">-Award. Im Frühjahr geht es kreativ und kompetitiv </w:t>
                        </w:r>
                        <w:r w:rsidRPr="009A77FB">
                          <w:lastRenderedPageBreak/>
                          <w:t>weiter: Am 20. März 2025 fordert der „Känguru der Mathematik“-Wettbewerb heraus. Für Volksschulen bietet ein Malwettbewerb Gelegenheit, sich bis März mit dem Thema Artenschutz auseinanderzusetzen.</w:t>
                        </w:r>
                      </w:p>
                    </w:tc>
                  </w:tr>
                </w:tbl>
                <w:p w14:paraId="568DE961" w14:textId="77777777" w:rsidR="009A77FB" w:rsidRPr="009A77FB" w:rsidRDefault="009A77FB" w:rsidP="009A77FB">
                  <w:hyperlink r:id="rId36" w:tooltip="https://newsletter.bmbwf.gv.at/redirect.html?s=yU2EJU211wIX" w:history="1">
                    <w:r w:rsidRPr="009A77FB">
                      <w:rPr>
                        <w:rStyle w:val="Hyperlink"/>
                      </w:rPr>
                      <w:t>mehr dazu</w:t>
                    </w:r>
                  </w:hyperlink>
                </w:p>
                <w:p w14:paraId="1D3F1977" w14:textId="77777777" w:rsidR="009A77FB" w:rsidRPr="009A77FB" w:rsidRDefault="009A77FB" w:rsidP="009A77FB">
                  <w:r w:rsidRPr="009A77FB">
                    <w:pict w14:anchorId="21695A48">
                      <v:rect id="_x0000_i1052" style="width:470.3pt;height:.75pt" o:hralign="center" o:hrstd="t" o:hrnoshade="t" o:hr="t" fillcolor="#ddd" stroked="f"/>
                    </w:pict>
                  </w:r>
                </w:p>
                <w:p w14:paraId="18C09AF0" w14:textId="77777777" w:rsidR="009A77FB" w:rsidRPr="009A77FB" w:rsidRDefault="009A77FB" w:rsidP="009A77FB">
                  <w:bookmarkStart w:id="13" w:name="x_text3906"/>
                  <w:r w:rsidRPr="009A77FB">
                    <w:t>Veranstaltungen: Erasmus+ im Dezember</w:t>
                  </w:r>
                  <w:bookmarkEnd w:id="13"/>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4B4D20A2" w14:textId="77777777">
                    <w:trPr>
                      <w:tblCellSpacing w:w="0" w:type="dxa"/>
                    </w:trPr>
                    <w:tc>
                      <w:tcPr>
                        <w:tcW w:w="1650" w:type="pct"/>
                        <w:hideMark/>
                      </w:tcPr>
                      <w:p w14:paraId="30049F36" w14:textId="48768202" w:rsidR="009A77FB" w:rsidRPr="009A77FB" w:rsidRDefault="009A77FB" w:rsidP="009A77FB">
                        <w:r w:rsidRPr="009A77FB">
                          <w:drawing>
                            <wp:inline distT="0" distB="0" distL="0" distR="0" wp14:anchorId="61B92ECE" wp14:editId="75D27FA9">
                              <wp:extent cx="1524000" cy="1009650"/>
                              <wp:effectExtent l="0" t="0" r="0" b="0"/>
                              <wp:docPr id="132211271" name="Grafik 3" descr="Veranstaltungen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ranstaltungen (2023/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3C5CB308" w14:textId="77777777" w:rsidR="009A77FB" w:rsidRPr="009A77FB" w:rsidRDefault="009A77FB" w:rsidP="009A77FB">
                        <w:r w:rsidRPr="009A77FB">
                          <w:t>Am 3. Dezember geben Vertreterinnen und Vertreter aus den Erasmus+ Zentren beruflicher Exzellenz (</w:t>
                        </w:r>
                        <w:proofErr w:type="spellStart"/>
                        <w:r w:rsidRPr="009A77FB">
                          <w:t>CoVE</w:t>
                        </w:r>
                        <w:proofErr w:type="spellEnd"/>
                        <w:r w:rsidRPr="009A77FB">
                          <w:t>) Einblicke in ihre Projekte und deren positive Wirkung auf die Regionen. Nutzen Sie außerdem die Möglichkeit, sich in zwei Webinaren am 19. Dezember und 20. Jänner 2025 über kurzfristige Erasmus+ Projekte im Bereich Schulbildung zu informieren und mehr über den Antragstellungsprozess zu erfahren. Zudem lädt eine Online-Fragestunde am 17. Dezember dazu ein, alles über die Erasmus+ Jean Monnet Aktionen 2025 zu erfahren.</w:t>
                        </w:r>
                      </w:p>
                    </w:tc>
                  </w:tr>
                </w:tbl>
                <w:p w14:paraId="68E9C1D0" w14:textId="77777777" w:rsidR="009A77FB" w:rsidRPr="009A77FB" w:rsidRDefault="009A77FB" w:rsidP="009A77FB">
                  <w:hyperlink r:id="rId38" w:tooltip="https://newsletter.bmbwf.gv.at/redirect.html?s=PdTOmNbkOUGp" w:history="1">
                    <w:r w:rsidRPr="009A77FB">
                      <w:rPr>
                        <w:rStyle w:val="Hyperlink"/>
                      </w:rPr>
                      <w:t>mehr dazu</w:t>
                    </w:r>
                  </w:hyperlink>
                </w:p>
                <w:p w14:paraId="6ABD3608" w14:textId="77777777" w:rsidR="009A77FB" w:rsidRPr="009A77FB" w:rsidRDefault="009A77FB" w:rsidP="009A77FB">
                  <w:r w:rsidRPr="009A77FB">
                    <w:pict w14:anchorId="18458CF3">
                      <v:rect id="_x0000_i1054" style="width:470.3pt;height:.75pt" o:hralign="center" o:hrstd="t" o:hrnoshade="t" o:hr="t" fillcolor="#ddd" stroked="f"/>
                    </w:pict>
                  </w:r>
                </w:p>
                <w:p w14:paraId="77CEB934" w14:textId="77777777" w:rsidR="009A77FB" w:rsidRPr="009A77FB" w:rsidRDefault="009A77FB" w:rsidP="009A77FB">
                  <w:bookmarkStart w:id="14" w:name="x_text3907"/>
                  <w:r w:rsidRPr="009A77FB">
                    <w:t>Fort- und Weiterbildung</w:t>
                  </w:r>
                  <w:bookmarkEnd w:id="14"/>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4E942056" w14:textId="77777777">
                    <w:trPr>
                      <w:tblCellSpacing w:w="0" w:type="dxa"/>
                    </w:trPr>
                    <w:tc>
                      <w:tcPr>
                        <w:tcW w:w="1650" w:type="pct"/>
                        <w:hideMark/>
                      </w:tcPr>
                      <w:p w14:paraId="50A3FA19" w14:textId="5E7E7DD3" w:rsidR="009A77FB" w:rsidRPr="009A77FB" w:rsidRDefault="009A77FB" w:rsidP="009A77FB">
                        <w:r w:rsidRPr="009A77FB">
                          <w:drawing>
                            <wp:inline distT="0" distB="0" distL="0" distR="0" wp14:anchorId="3F3D0046" wp14:editId="2EFB32A4">
                              <wp:extent cx="1524000" cy="1009650"/>
                              <wp:effectExtent l="0" t="0" r="0" b="0"/>
                              <wp:docPr id="1489460176" name="Grafik 2" descr="Fort- und Weiterbildung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t- und Weiterbildung (2023/0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3DBE74D0" w14:textId="77777777" w:rsidR="009A77FB" w:rsidRPr="009A77FB" w:rsidRDefault="009A77FB" w:rsidP="009A77FB">
                        <w:r w:rsidRPr="009A77FB">
                          <w:rPr>
                            <w:b/>
                            <w:bCs/>
                          </w:rPr>
                          <w:t>Fortbildungsveranstaltung zur Korruptionsprävention „Integrität leben – Zukunft gestalten“</w:t>
                        </w:r>
                        <w:r w:rsidRPr="009A77FB">
                          <w:br/>
                          <w:t>Nutzen Sie die Fortbildung zur Korruptionsprävention an der PH Wien und werden Sie zu einer/m Multiplikator/in. Das vom Bundesamt für Korruptionsbekämpfung (BAK) konzipierte Programm stärkt Lehrkräfte an BMHS in der Aufklärung über Korruption und in der Handlungsfähigkeit in schwierigen Situationen.</w:t>
                        </w:r>
                        <w:r w:rsidRPr="009A77FB">
                          <w:br/>
                        </w:r>
                        <w:hyperlink r:id="rId40" w:tooltip="https://tinyurl.com/y93vnee6" w:history="1">
                          <w:r w:rsidRPr="009A77FB">
                            <w:rPr>
                              <w:rStyle w:val="Hyperlink"/>
                            </w:rPr>
                            <w:t>Fortbildung Korruptionsprävention</w:t>
                          </w:r>
                        </w:hyperlink>
                        <w:r w:rsidRPr="009A77FB">
                          <w:br/>
                        </w:r>
                        <w:r w:rsidRPr="009A77FB">
                          <w:br/>
                        </w:r>
                        <w:r w:rsidRPr="009A77FB">
                          <w:rPr>
                            <w:b/>
                            <w:bCs/>
                          </w:rPr>
                          <w:t xml:space="preserve">Anmeldung ab sofort möglich: Bundesweiter Hochschullehrgang Sehbehinderten- und </w:t>
                        </w:r>
                        <w:r w:rsidRPr="009A77FB">
                          <w:rPr>
                            <w:b/>
                            <w:bCs/>
                          </w:rPr>
                          <w:lastRenderedPageBreak/>
                          <w:t>Blindenpädagogik</w:t>
                        </w:r>
                        <w:r w:rsidRPr="009A77FB">
                          <w:br/>
                          <w:t xml:space="preserve">Im März startet der bundesweite Hochschullehrgang Sehbehinderten- und Blindenpädagogik in Graz. Gemeinsam organisiert von der PH Steiermark und dem </w:t>
                        </w:r>
                        <w:proofErr w:type="spellStart"/>
                        <w:r w:rsidRPr="009A77FB">
                          <w:t>Odilien</w:t>
                        </w:r>
                        <w:proofErr w:type="spellEnd"/>
                        <w:r w:rsidRPr="009A77FB">
                          <w:t xml:space="preserve"> Institut, bietet der Lehrgang eine praxisorientierte Ausbildung und vertiefte Kenntnisse in inklusiver Pädagogik.</w:t>
                        </w:r>
                        <w:r w:rsidRPr="009A77FB">
                          <w:br/>
                        </w:r>
                        <w:hyperlink r:id="rId41" w:tooltip="https://www.phst.at/fortbildung-beratung/weiterbildung/hochschullehrgaenge/sehbehinderten-und-blindenpaedagogik/" w:history="1">
                          <w:r w:rsidRPr="009A77FB">
                            <w:rPr>
                              <w:rStyle w:val="Hyperlink"/>
                            </w:rPr>
                            <w:t>Hochschullehrgang Sehbehinderten- und Blindenpädagogik</w:t>
                          </w:r>
                        </w:hyperlink>
                        <w:r w:rsidRPr="009A77FB">
                          <w:br/>
                        </w:r>
                        <w:r w:rsidRPr="009A77FB">
                          <w:br/>
                        </w:r>
                        <w:r w:rsidRPr="009A77FB">
                          <w:rPr>
                            <w:b/>
                            <w:bCs/>
                          </w:rPr>
                          <w:t>AVISO: Zeitzeuginnen- und Zeitzeugen-Seminar 2025</w:t>
                        </w:r>
                        <w:r w:rsidRPr="009A77FB">
                          <w:br/>
                          <w:t>Am 9. und 10. März 2025 findet das nächste Zeitzeuginnen- und Zeitzeugen-Seminar von ERINNERN:AT in Wien statt: Die größte Lehrkräfte-Fortbildung Österreichs zum Lernen mit Zeitzeuginnen und Zeitzeugen der NS-Verfolgung.</w:t>
                        </w:r>
                        <w:r w:rsidRPr="009A77FB">
                          <w:br/>
                        </w:r>
                        <w:hyperlink r:id="rId42" w:tooltip="https://www.erinnern.at/bildungsangebote/seminare/zeitzeuginnen-seminar/alle-zeitzeuginnen-seminare/zeitzeuginnen-und-zeitzeugen-seminar-2025/save-the-date-zeitzeuginnen-und-zeitzeugen-seminar-2025" w:history="1">
                          <w:r w:rsidRPr="009A77FB">
                            <w:rPr>
                              <w:rStyle w:val="Hyperlink"/>
                            </w:rPr>
                            <w:t>Zeitzeuginnen und Zeitzeugen-Seminar</w:t>
                          </w:r>
                        </w:hyperlink>
                        <w:r w:rsidRPr="009A77FB">
                          <w:br/>
                        </w:r>
                        <w:r w:rsidRPr="009A77FB">
                          <w:br/>
                        </w:r>
                        <w:r w:rsidRPr="009A77FB">
                          <w:rPr>
                            <w:b/>
                            <w:bCs/>
                          </w:rPr>
                          <w:t>Roma in Österreich – Geschichte und Gegenwart</w:t>
                        </w:r>
                        <w:r w:rsidRPr="009A77FB">
                          <w:br/>
                          <w:t>Zum Abschluss des ERINNERN:AT-Jahresschwerpunkts zum Genozid an den Roma und Sinti während der NS-Zeit werden in diesem Webinar am 11. Dezember neue Materialien für Lehrkräfte präsentiert.</w:t>
                        </w:r>
                        <w:r w:rsidRPr="009A77FB">
                          <w:br/>
                        </w:r>
                        <w:hyperlink r:id="rId43" w:tooltip="https://www.politik-lernen.at/webinar_romainoesterreich" w:history="1">
                          <w:r w:rsidRPr="009A77FB">
                            <w:rPr>
                              <w:rStyle w:val="Hyperlink"/>
                            </w:rPr>
                            <w:t>Webinar: Roma in Österreich</w:t>
                          </w:r>
                        </w:hyperlink>
                        <w:r w:rsidRPr="009A77FB">
                          <w:br/>
                        </w:r>
                        <w:r w:rsidRPr="009A77FB">
                          <w:br/>
                        </w:r>
                        <w:r w:rsidRPr="009A77FB">
                          <w:rPr>
                            <w:b/>
                            <w:bCs/>
                          </w:rPr>
                          <w:t>Österreichischer Integrationsfonds: Das neue Seminarprogramm ist da!</w:t>
                        </w:r>
                        <w:r w:rsidRPr="009A77FB">
                          <w:br/>
                          <w:t>Das neue Seminarprogramm bietet über 70 kostenlose Weiterbildungen für alle, die in ihrem Alltags- oder Berufsleben mit Integration zu tun haben.</w:t>
                        </w:r>
                        <w:r w:rsidRPr="009A77FB">
                          <w:br/>
                        </w:r>
                        <w:hyperlink r:id="rId44" w:tooltip="https://www.integrationsfonds.at/zielgruppen/multiplikatorinnen/" w:history="1">
                          <w:r w:rsidRPr="009A77FB">
                            <w:rPr>
                              <w:rStyle w:val="Hyperlink"/>
                            </w:rPr>
                            <w:t>Seminare ÖIF</w:t>
                          </w:r>
                        </w:hyperlink>
                        <w:r w:rsidRPr="009A77FB">
                          <w:br/>
                        </w:r>
                        <w:r w:rsidRPr="009A77FB">
                          <w:br/>
                        </w:r>
                        <w:r w:rsidRPr="009A77FB">
                          <w:rPr>
                            <w:b/>
                            <w:bCs/>
                          </w:rPr>
                          <w:t>4th Austrian BMHS CLIL Conference – Anmeldung noch bis Ende November möglich</w:t>
                        </w:r>
                        <w:r w:rsidRPr="009A77FB">
                          <w:br/>
                          <w:t xml:space="preserve">Die CLIL (Content and Language Integrated Learning) voc25, die von 3. - 4. April 2025 an der PH </w:t>
                        </w:r>
                        <w:r w:rsidRPr="009A77FB">
                          <w:lastRenderedPageBreak/>
                          <w:t>der Diözese Linz stattfindet, bietet Möglichkeiten zum Erfahrungsaustausch und zur Vernetzung österreichischer CLIL-Lehrerinnen und Lehrer.</w:t>
                        </w:r>
                        <w:r w:rsidRPr="009A77FB">
                          <w:br/>
                        </w:r>
                        <w:hyperlink r:id="rId45" w:tooltip="https://www.cebs.at/service-angebote/clil/clil-events/" w:history="1">
                          <w:r w:rsidRPr="009A77FB">
                            <w:rPr>
                              <w:rStyle w:val="Hyperlink"/>
                            </w:rPr>
                            <w:t>CLILvoc2025</w:t>
                          </w:r>
                        </w:hyperlink>
                      </w:p>
                    </w:tc>
                  </w:tr>
                </w:tbl>
                <w:p w14:paraId="23A955BE" w14:textId="77777777" w:rsidR="009A77FB" w:rsidRPr="009A77FB" w:rsidRDefault="009A77FB" w:rsidP="009A77FB">
                  <w:r w:rsidRPr="009A77FB">
                    <w:lastRenderedPageBreak/>
                    <w:pict w14:anchorId="22404789">
                      <v:rect id="_x0000_i1056" style="width:470.3pt;height:.75pt" o:hralign="center" o:hrstd="t" o:hrnoshade="t" o:hr="t" fillcolor="#ddd" stroked="f"/>
                    </w:pict>
                  </w:r>
                </w:p>
                <w:p w14:paraId="324B0CFA" w14:textId="77777777" w:rsidR="009A77FB" w:rsidRPr="009A77FB" w:rsidRDefault="009A77FB" w:rsidP="009A77FB">
                  <w:bookmarkStart w:id="15" w:name="x_text3908"/>
                  <w:r w:rsidRPr="009A77FB">
                    <w:t>Publikationen</w:t>
                  </w:r>
                  <w:bookmarkEnd w:id="15"/>
                </w:p>
                <w:tbl>
                  <w:tblPr>
                    <w:tblW w:w="5000" w:type="pct"/>
                    <w:tblCellSpacing w:w="0" w:type="dxa"/>
                    <w:tblCellMar>
                      <w:left w:w="0" w:type="dxa"/>
                      <w:right w:w="0" w:type="dxa"/>
                    </w:tblCellMar>
                    <w:tblLook w:val="04A0" w:firstRow="1" w:lastRow="0" w:firstColumn="1" w:lastColumn="0" w:noHBand="0" w:noVBand="1"/>
                  </w:tblPr>
                  <w:tblGrid>
                    <w:gridCol w:w="2623"/>
                    <w:gridCol w:w="5327"/>
                  </w:tblGrid>
                  <w:tr w:rsidR="009A77FB" w:rsidRPr="009A77FB" w14:paraId="7D9A4DAD" w14:textId="77777777">
                    <w:trPr>
                      <w:tblCellSpacing w:w="0" w:type="dxa"/>
                    </w:trPr>
                    <w:tc>
                      <w:tcPr>
                        <w:tcW w:w="1650" w:type="pct"/>
                        <w:hideMark/>
                      </w:tcPr>
                      <w:p w14:paraId="043D9A15" w14:textId="4247FC18" w:rsidR="009A77FB" w:rsidRPr="009A77FB" w:rsidRDefault="009A77FB" w:rsidP="009A77FB">
                        <w:r w:rsidRPr="009A77FB">
                          <w:drawing>
                            <wp:inline distT="0" distB="0" distL="0" distR="0" wp14:anchorId="17051EE6" wp14:editId="46DD3305">
                              <wp:extent cx="1524000" cy="1009650"/>
                              <wp:effectExtent l="0" t="0" r="0" b="0"/>
                              <wp:docPr id="908374924" name="Grafik 1" descr="Publikationen (2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blikationen (2023/0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tc>
                    <w:tc>
                      <w:tcPr>
                        <w:tcW w:w="3350" w:type="pct"/>
                        <w:hideMark/>
                      </w:tcPr>
                      <w:p w14:paraId="4A4CC124" w14:textId="77777777" w:rsidR="009A77FB" w:rsidRPr="009A77FB" w:rsidRDefault="009A77FB" w:rsidP="009A77FB">
                        <w:r w:rsidRPr="009A77FB">
                          <w:rPr>
                            <w:b/>
                            <w:bCs/>
                          </w:rPr>
                          <w:t>Podcast „</w:t>
                        </w:r>
                        <w:proofErr w:type="spellStart"/>
                        <w:r w:rsidRPr="009A77FB">
                          <w:rPr>
                            <w:b/>
                            <w:bCs/>
                          </w:rPr>
                          <w:t>Direktor’s</w:t>
                        </w:r>
                        <w:proofErr w:type="spellEnd"/>
                        <w:r w:rsidRPr="009A77FB">
                          <w:rPr>
                            <w:b/>
                            <w:bCs/>
                          </w:rPr>
                          <w:t xml:space="preserve"> Cut“ – Neue Folge: Wie gelingt die Zusammenarbeit zwischen Schule und Eltern?</w:t>
                        </w:r>
                        <w:r w:rsidRPr="009A77FB">
                          <w:br/>
                          <w:t xml:space="preserve">Schulleiterin Jasmin Steinböck spricht mit Thomas </w:t>
                        </w:r>
                        <w:proofErr w:type="spellStart"/>
                        <w:r w:rsidRPr="009A77FB">
                          <w:t>Maximiuk</w:t>
                        </w:r>
                        <w:proofErr w:type="spellEnd"/>
                        <w:r w:rsidRPr="009A77FB">
                          <w:t>, Präsident des Hauptverbands der Katholischen Elternvereine Österreichs, über die verschiedenen Facetten der Elternarbeit.</w:t>
                        </w:r>
                        <w:r w:rsidRPr="009A77FB">
                          <w:br/>
                        </w:r>
                        <w:hyperlink r:id="rId47" w:tooltip="https://www.bmbwf.gv.at/Themen/schule/fpp/direktor_s_cut.html" w:history="1">
                          <w:r w:rsidRPr="009A77FB">
                            <w:rPr>
                              <w:rStyle w:val="Hyperlink"/>
                            </w:rPr>
                            <w:t xml:space="preserve">Podcast </w:t>
                          </w:r>
                          <w:proofErr w:type="spellStart"/>
                          <w:r w:rsidRPr="009A77FB">
                            <w:rPr>
                              <w:rStyle w:val="Hyperlink"/>
                            </w:rPr>
                            <w:t>Direktor's</w:t>
                          </w:r>
                          <w:proofErr w:type="spellEnd"/>
                          <w:r w:rsidRPr="009A77FB">
                            <w:rPr>
                              <w:rStyle w:val="Hyperlink"/>
                            </w:rPr>
                            <w:t xml:space="preserve"> Cut</w:t>
                          </w:r>
                        </w:hyperlink>
                        <w:r w:rsidRPr="009A77FB">
                          <w:br/>
                        </w:r>
                        <w:r w:rsidRPr="009A77FB">
                          <w:br/>
                        </w:r>
                        <w:proofErr w:type="spellStart"/>
                        <w:r w:rsidRPr="009A77FB">
                          <w:rPr>
                            <w:b/>
                            <w:bCs/>
                          </w:rPr>
                          <w:t>SchulrechtsApp</w:t>
                        </w:r>
                        <w:proofErr w:type="spellEnd"/>
                        <w:r w:rsidRPr="009A77FB">
                          <w:rPr>
                            <w:b/>
                            <w:bCs/>
                          </w:rPr>
                          <w:t>: Neues Modul jetzt verfügbar</w:t>
                        </w:r>
                        <w:r w:rsidRPr="009A77FB">
                          <w:br/>
                          <w:t>Das neue Modul „Aufnahme in die Schule und Übertritt (Schulwechsel)“ liefert praxisnahe Erklärvideos, Podcasts und einen Chatbot für schnelle Unterstützung im Schulalltag. Jetzt im Android- oder Apple-Store downloaden.</w:t>
                        </w:r>
                        <w:r w:rsidRPr="009A77FB">
                          <w:br/>
                        </w:r>
                        <w:r w:rsidRPr="009A77FB">
                          <w:br/>
                        </w:r>
                        <w:r w:rsidRPr="009A77FB">
                          <w:rPr>
                            <w:b/>
                            <w:bCs/>
                          </w:rPr>
                          <w:t>Autismus-Spektrum: Neues Handbuch für Elementarpädagogik</w:t>
                        </w:r>
                        <w:r w:rsidRPr="009A77FB">
                          <w:br/>
                          <w:t>Das Handbuch zum Autismus-Spektrum unterstützt (angehende) Elementarpädagoginnen und -pädagogen mit praxisnahem Wissen, einer Beschreibung der Symptomatik und Tipps für förderliche Rahmenbedingungen im Alltag.</w:t>
                        </w:r>
                        <w:r w:rsidRPr="009A77FB">
                          <w:br/>
                        </w:r>
                        <w:hyperlink r:id="rId48" w:anchor="asp" w:tooltip="https://www.bmbwf.gv.at/Themen/ep/paed_dok.html#asp" w:history="1">
                          <w:r w:rsidRPr="009A77FB">
                            <w:rPr>
                              <w:rStyle w:val="Hyperlink"/>
                            </w:rPr>
                            <w:t>Autismus Spektrum - Handbuch für die Elementarpädagogik</w:t>
                          </w:r>
                        </w:hyperlink>
                        <w:r w:rsidRPr="009A77FB">
                          <w:br/>
                        </w:r>
                        <w:r w:rsidRPr="009A77FB">
                          <w:br/>
                        </w:r>
                        <w:r w:rsidRPr="009A77FB">
                          <w:rPr>
                            <w:b/>
                            <w:bCs/>
                          </w:rPr>
                          <w:t>Kompetenzrahmen für Elementarpädagogik: Orientierung und Entwicklung</w:t>
                        </w:r>
                        <w:r w:rsidRPr="009A77FB">
                          <w:br/>
                          <w:t xml:space="preserve">Der Kompetenzrahmen definiert die vielfältigen Aufgaben und notwendige Expertise von Elementarpädagoginnen und Elementarpädagogen. Basierend auf aktueller Forschung unterstützt er die Weiterentwicklung von Lehrplänen, </w:t>
                        </w:r>
                        <w:r w:rsidRPr="009A77FB">
                          <w:lastRenderedPageBreak/>
                          <w:t>Hochschulcurricula sowie Fort- und Weiterbildungen.</w:t>
                        </w:r>
                        <w:r w:rsidRPr="009A77FB">
                          <w:br/>
                        </w:r>
                        <w:hyperlink r:id="rId49" w:anchor="krep" w:tooltip="https://www.bmbwf.gv.at/Themen/ep/paed_dok.html#krep" w:history="1">
                          <w:r w:rsidRPr="009A77FB">
                            <w:rPr>
                              <w:rStyle w:val="Hyperlink"/>
                            </w:rPr>
                            <w:t>Kompetenzrahmen EP</w:t>
                          </w:r>
                        </w:hyperlink>
                      </w:p>
                    </w:tc>
                  </w:tr>
                </w:tbl>
                <w:p w14:paraId="23A2F09E" w14:textId="77777777" w:rsidR="009A77FB" w:rsidRPr="009A77FB" w:rsidRDefault="009A77FB" w:rsidP="009A77FB"/>
              </w:tc>
            </w:tr>
          </w:tbl>
          <w:p w14:paraId="360E18AA" w14:textId="77777777" w:rsidR="009A77FB" w:rsidRPr="009A77FB" w:rsidRDefault="009A77FB" w:rsidP="009A77FB"/>
        </w:tc>
      </w:tr>
    </w:tbl>
    <w:p w14:paraId="511B7F2C" w14:textId="77777777" w:rsidR="009A77FB" w:rsidRDefault="009A77FB"/>
    <w:p w14:paraId="55A5B79A" w14:textId="77777777" w:rsidR="009A77FB" w:rsidRDefault="009A77FB"/>
    <w:p w14:paraId="0ABD847D" w14:textId="77777777" w:rsidR="009A77FB" w:rsidRDefault="009A77FB"/>
    <w:p w14:paraId="75E667DB" w14:textId="77777777" w:rsidR="009A77FB" w:rsidRDefault="009A77FB"/>
    <w:p w14:paraId="4D6D8F16" w14:textId="77777777" w:rsidR="009A77FB" w:rsidRDefault="009A77FB"/>
    <w:p w14:paraId="33C75910" w14:textId="77777777" w:rsidR="009A77FB" w:rsidRDefault="009A77FB"/>
    <w:p w14:paraId="6A5B4958" w14:textId="77777777" w:rsidR="009A77FB" w:rsidRDefault="009A77FB"/>
    <w:p w14:paraId="30AAAB4E" w14:textId="77777777" w:rsidR="009A77FB" w:rsidRDefault="009A77FB"/>
    <w:p w14:paraId="5EF0409A" w14:textId="77777777" w:rsidR="009A77FB" w:rsidRDefault="009A77FB"/>
    <w:p w14:paraId="775F1D25" w14:textId="77777777" w:rsidR="009A77FB" w:rsidRDefault="009A77FB"/>
    <w:p w14:paraId="441F8C58" w14:textId="77777777" w:rsidR="009A77FB" w:rsidRDefault="009A77FB"/>
    <w:p w14:paraId="0C9F21CC" w14:textId="77777777" w:rsidR="009A77FB" w:rsidRDefault="009A77FB"/>
    <w:p w14:paraId="690E2A2C" w14:textId="77777777" w:rsidR="009A77FB" w:rsidRDefault="009A77FB"/>
    <w:p w14:paraId="1CF8023F" w14:textId="77777777" w:rsidR="009A77FB" w:rsidRDefault="009A77FB"/>
    <w:p w14:paraId="1471A7C6" w14:textId="77777777" w:rsidR="009A77FB" w:rsidRDefault="009A77FB"/>
    <w:p w14:paraId="55FEDCF7" w14:textId="77777777" w:rsidR="009A77FB" w:rsidRDefault="009A77FB"/>
    <w:p w14:paraId="34C87562" w14:textId="77777777" w:rsidR="009A77FB" w:rsidRDefault="009A77FB"/>
    <w:p w14:paraId="4589DF1A" w14:textId="77777777" w:rsidR="009A77FB" w:rsidRDefault="009A77FB"/>
    <w:p w14:paraId="304D7D7C" w14:textId="77777777" w:rsidR="009A77FB" w:rsidRDefault="009A77FB"/>
    <w:p w14:paraId="0569ED01" w14:textId="77777777" w:rsidR="009A77FB" w:rsidRDefault="009A77FB"/>
    <w:p w14:paraId="1B9CD186" w14:textId="77777777" w:rsidR="009A77FB" w:rsidRDefault="009A77FB"/>
    <w:p w14:paraId="3B17E32A" w14:textId="77777777" w:rsidR="009A77FB" w:rsidRDefault="009A77FB"/>
    <w:p w14:paraId="2C658D91" w14:textId="77777777" w:rsidR="009A77FB" w:rsidRDefault="009A77FB"/>
    <w:p w14:paraId="270CE274" w14:textId="77777777" w:rsidR="009A77FB" w:rsidRDefault="009A77FB"/>
    <w:p w14:paraId="104773D1" w14:textId="77777777" w:rsidR="009A77FB" w:rsidRDefault="009A77FB"/>
    <w:p w14:paraId="706F0CB8" w14:textId="77777777" w:rsidR="009A77FB" w:rsidRDefault="009A77FB"/>
    <w:sectPr w:rsidR="009A77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1DF"/>
    <w:multiLevelType w:val="multilevel"/>
    <w:tmpl w:val="0452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934AF"/>
    <w:multiLevelType w:val="multilevel"/>
    <w:tmpl w:val="ACD8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D017F"/>
    <w:multiLevelType w:val="multilevel"/>
    <w:tmpl w:val="2076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7E53"/>
    <w:multiLevelType w:val="multilevel"/>
    <w:tmpl w:val="0D3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A5652"/>
    <w:multiLevelType w:val="multilevel"/>
    <w:tmpl w:val="834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855599">
    <w:abstractNumId w:val="0"/>
  </w:num>
  <w:num w:numId="2" w16cid:durableId="1294754173">
    <w:abstractNumId w:val="1"/>
  </w:num>
  <w:num w:numId="3" w16cid:durableId="140275766">
    <w:abstractNumId w:val="3"/>
  </w:num>
  <w:num w:numId="4" w16cid:durableId="1734886057">
    <w:abstractNumId w:val="2"/>
  </w:num>
  <w:num w:numId="5" w16cid:durableId="2084528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FB"/>
    <w:rsid w:val="00240E47"/>
    <w:rsid w:val="009A77FB"/>
    <w:rsid w:val="00C12F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4149"/>
  <w15:chartTrackingRefBased/>
  <w15:docId w15:val="{40791D56-D208-491F-B579-70249EA8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7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7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77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77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77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77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77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77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77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77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77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77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77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77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77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77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77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77FB"/>
    <w:rPr>
      <w:rFonts w:eastAsiaTheme="majorEastAsia" w:cstheme="majorBidi"/>
      <w:color w:val="272727" w:themeColor="text1" w:themeTint="D8"/>
    </w:rPr>
  </w:style>
  <w:style w:type="paragraph" w:styleId="Titel">
    <w:name w:val="Title"/>
    <w:basedOn w:val="Standard"/>
    <w:next w:val="Standard"/>
    <w:link w:val="TitelZchn"/>
    <w:uiPriority w:val="10"/>
    <w:qFormat/>
    <w:rsid w:val="009A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77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77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77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77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77FB"/>
    <w:rPr>
      <w:i/>
      <w:iCs/>
      <w:color w:val="404040" w:themeColor="text1" w:themeTint="BF"/>
    </w:rPr>
  </w:style>
  <w:style w:type="paragraph" w:styleId="Listenabsatz">
    <w:name w:val="List Paragraph"/>
    <w:basedOn w:val="Standard"/>
    <w:uiPriority w:val="34"/>
    <w:qFormat/>
    <w:rsid w:val="009A77FB"/>
    <w:pPr>
      <w:ind w:left="720"/>
      <w:contextualSpacing/>
    </w:pPr>
  </w:style>
  <w:style w:type="character" w:styleId="IntensiveHervorhebung">
    <w:name w:val="Intense Emphasis"/>
    <w:basedOn w:val="Absatz-Standardschriftart"/>
    <w:uiPriority w:val="21"/>
    <w:qFormat/>
    <w:rsid w:val="009A77FB"/>
    <w:rPr>
      <w:i/>
      <w:iCs/>
      <w:color w:val="0F4761" w:themeColor="accent1" w:themeShade="BF"/>
    </w:rPr>
  </w:style>
  <w:style w:type="paragraph" w:styleId="IntensivesZitat">
    <w:name w:val="Intense Quote"/>
    <w:basedOn w:val="Standard"/>
    <w:next w:val="Standard"/>
    <w:link w:val="IntensivesZitatZchn"/>
    <w:uiPriority w:val="30"/>
    <w:qFormat/>
    <w:rsid w:val="009A7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77FB"/>
    <w:rPr>
      <w:i/>
      <w:iCs/>
      <w:color w:val="0F4761" w:themeColor="accent1" w:themeShade="BF"/>
    </w:rPr>
  </w:style>
  <w:style w:type="character" w:styleId="IntensiverVerweis">
    <w:name w:val="Intense Reference"/>
    <w:basedOn w:val="Absatz-Standardschriftart"/>
    <w:uiPriority w:val="32"/>
    <w:qFormat/>
    <w:rsid w:val="009A77FB"/>
    <w:rPr>
      <w:b/>
      <w:bCs/>
      <w:smallCaps/>
      <w:color w:val="0F4761" w:themeColor="accent1" w:themeShade="BF"/>
      <w:spacing w:val="5"/>
    </w:rPr>
  </w:style>
  <w:style w:type="character" w:styleId="Hyperlink">
    <w:name w:val="Hyperlink"/>
    <w:basedOn w:val="Absatz-Standardschriftart"/>
    <w:uiPriority w:val="99"/>
    <w:unhideWhenUsed/>
    <w:rsid w:val="009A77FB"/>
    <w:rPr>
      <w:color w:val="467886" w:themeColor="hyperlink"/>
      <w:u w:val="single"/>
    </w:rPr>
  </w:style>
  <w:style w:type="character" w:styleId="NichtaufgelsteErwhnung">
    <w:name w:val="Unresolved Mention"/>
    <w:basedOn w:val="Absatz-Standardschriftart"/>
    <w:uiPriority w:val="99"/>
    <w:semiHidden/>
    <w:unhideWhenUsed/>
    <w:rsid w:val="009A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854">
      <w:bodyDiv w:val="1"/>
      <w:marLeft w:val="0"/>
      <w:marRight w:val="0"/>
      <w:marTop w:val="0"/>
      <w:marBottom w:val="0"/>
      <w:divBdr>
        <w:top w:val="none" w:sz="0" w:space="0" w:color="auto"/>
        <w:left w:val="none" w:sz="0" w:space="0" w:color="auto"/>
        <w:bottom w:val="none" w:sz="0" w:space="0" w:color="auto"/>
        <w:right w:val="none" w:sz="0" w:space="0" w:color="auto"/>
      </w:divBdr>
    </w:div>
    <w:div w:id="1981112306">
      <w:bodyDiv w:val="1"/>
      <w:marLeft w:val="0"/>
      <w:marRight w:val="0"/>
      <w:marTop w:val="0"/>
      <w:marBottom w:val="0"/>
      <w:divBdr>
        <w:top w:val="none" w:sz="0" w:space="0" w:color="auto"/>
        <w:left w:val="none" w:sz="0" w:space="0" w:color="auto"/>
        <w:bottom w:val="none" w:sz="0" w:space="0" w:color="auto"/>
        <w:right w:val="none" w:sz="0" w:space="0" w:color="auto"/>
      </w:divBdr>
      <w:divsChild>
        <w:div w:id="17708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letter.bmbwf.gv.at/redirect.html?s=t3-6sSv738Tv" TargetMode="External"/><Relationship Id="rId18" Type="http://schemas.openxmlformats.org/officeDocument/2006/relationships/hyperlink" Target="https://newsletter.bmbwf.gv.at/redirect.html?s=ELl7joFOwAkt" TargetMode="External"/><Relationship Id="rId26" Type="http://schemas.openxmlformats.org/officeDocument/2006/relationships/hyperlink" Target="https://www.bmbwf.gv.at/Themen/schule/zrp/lesen/vorlesetag.html" TargetMode="External"/><Relationship Id="rId39" Type="http://schemas.openxmlformats.org/officeDocument/2006/relationships/image" Target="media/image15.jpeg"/><Relationship Id="rId21" Type="http://schemas.openxmlformats.org/officeDocument/2006/relationships/image" Target="media/image8.jpeg"/><Relationship Id="rId34" Type="http://schemas.openxmlformats.org/officeDocument/2006/relationships/hyperlink" Target="https://moneymatters.gwm.museum/" TargetMode="External"/><Relationship Id="rId42" Type="http://schemas.openxmlformats.org/officeDocument/2006/relationships/hyperlink" Target="https://www.erinnern.at/bildungsangebote/seminare/zeitzeuginnen-seminar/alle-zeitzeuginnen-seminare/zeitzeuginnen-und-zeitzeugen-seminar-2025/save-the-date-zeitzeuginnen-und-zeitzeugen-seminar-2025" TargetMode="External"/><Relationship Id="rId47" Type="http://schemas.openxmlformats.org/officeDocument/2006/relationships/hyperlink" Target="https://www.bmbwf.gv.at/Themen/schule/fpp/direktor_s_cut.html" TargetMode="External"/><Relationship Id="rId50" Type="http://schemas.openxmlformats.org/officeDocument/2006/relationships/fontTable" Target="fontTable.xml"/><Relationship Id="rId7" Type="http://schemas.openxmlformats.org/officeDocument/2006/relationships/hyperlink" Target="https://newsletter.bmbwf.gv.at/redirect.html?s=BterHOk4IHgG" TargetMode="External"/><Relationship Id="rId2" Type="http://schemas.openxmlformats.org/officeDocument/2006/relationships/styles" Target="styles.xml"/><Relationship Id="rId16" Type="http://schemas.openxmlformats.org/officeDocument/2006/relationships/hyperlink" Target="https://eule.bmbwf.gv.at/" TargetMode="External"/><Relationship Id="rId29" Type="http://schemas.openxmlformats.org/officeDocument/2006/relationships/hyperlink" Target="https://newsletter.bmbwf.gv.at/redirect.html?s=64QaEQZfEgkS" TargetMode="External"/><Relationship Id="rId11" Type="http://schemas.openxmlformats.org/officeDocument/2006/relationships/hyperlink" Target="https://newsletter.bmbwf.gv.at/redirect.html?s=38nEDDzSx7pz" TargetMode="External"/><Relationship Id="rId24" Type="http://schemas.openxmlformats.org/officeDocument/2006/relationships/hyperlink" Target="https://rundschreiben.bmbwf.gv.at/rundschreiben/?id=1426" TargetMode="External"/><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hyperlink" Target="https://tinyurl.com/y93vnee6" TargetMode="External"/><Relationship Id="rId45" Type="http://schemas.openxmlformats.org/officeDocument/2006/relationships/hyperlink" Target="https://www.cebs.at/service-angebote/clil/clil-events/" TargetMode="External"/><Relationship Id="rId5" Type="http://schemas.openxmlformats.org/officeDocument/2006/relationships/image" Target="media/image1.jpeg"/><Relationship Id="rId15" Type="http://schemas.openxmlformats.org/officeDocument/2006/relationships/hyperlink" Target="https://bildung.gv.at/" TargetMode="External"/><Relationship Id="rId23" Type="http://schemas.openxmlformats.org/officeDocument/2006/relationships/hyperlink" Target="https://rundschreiben.bmbwf.gv.at/rundschreiben/?id=1425" TargetMode="External"/><Relationship Id="rId28" Type="http://schemas.openxmlformats.org/officeDocument/2006/relationships/image" Target="media/image10.jpeg"/><Relationship Id="rId36" Type="http://schemas.openxmlformats.org/officeDocument/2006/relationships/hyperlink" Target="https://newsletter.bmbwf.gv.at/redirect.html?s=yU2EJU211wIX" TargetMode="External"/><Relationship Id="rId49" Type="http://schemas.openxmlformats.org/officeDocument/2006/relationships/hyperlink" Target="https://www.bmbwf.gv.at/Themen/ep/paed_dok.html" TargetMode="External"/><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hyperlink" Target="https://newsletter.bmbwf.gv.at/redirect.html?s=2fgIx6ReT--K" TargetMode="External"/><Relationship Id="rId44" Type="http://schemas.openxmlformats.org/officeDocument/2006/relationships/hyperlink" Target="https://www.integrationsfonds.at/zielgruppen/multiplikatorinnen/" TargetMode="External"/><Relationship Id="rId4" Type="http://schemas.openxmlformats.org/officeDocument/2006/relationships/webSettings" Target="webSettings.xml"/><Relationship Id="rId9" Type="http://schemas.openxmlformats.org/officeDocument/2006/relationships/hyperlink" Target="https://newsletter.bmbwf.gv.at/redirect.html?s=V-fLx41f9yWo" TargetMode="External"/><Relationship Id="rId14" Type="http://schemas.openxmlformats.org/officeDocument/2006/relationships/image" Target="media/image6.png"/><Relationship Id="rId22" Type="http://schemas.openxmlformats.org/officeDocument/2006/relationships/hyperlink" Target="https://rundschreiben.bmbwf.gv.at/rundschreiben/?id=1424" TargetMode="External"/><Relationship Id="rId27" Type="http://schemas.openxmlformats.org/officeDocument/2006/relationships/hyperlink" Target="https://www.virtuelle-ph.at/veranstaltung/electure-lesefoerderung-in-allen-faechern-digitalisierung-eine-einfuehrung-3/" TargetMode="External"/><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s://www.politik-lernen.at/webinar_romainoesterreich" TargetMode="External"/><Relationship Id="rId48" Type="http://schemas.openxmlformats.org/officeDocument/2006/relationships/hyperlink" Target="https://www.bmbwf.gv.at/Themen/ep/paed_dok.html" TargetMode="External"/><Relationship Id="rId8" Type="http://schemas.openxmlformats.org/officeDocument/2006/relationships/image" Target="media/image3.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newsletter.bmbwf.gv.at/redirect.html?s=W68Z3JZzLF_F" TargetMode="External"/><Relationship Id="rId25" Type="http://schemas.openxmlformats.org/officeDocument/2006/relationships/image" Target="media/image9.jpeg"/><Relationship Id="rId33" Type="http://schemas.openxmlformats.org/officeDocument/2006/relationships/hyperlink" Target="https://kulturvermittlung.oead.at/de/culture-connected" TargetMode="External"/><Relationship Id="rId38" Type="http://schemas.openxmlformats.org/officeDocument/2006/relationships/hyperlink" Target="https://newsletter.bmbwf.gv.at/redirect.html?s=PdTOmNbkOUGp" TargetMode="External"/><Relationship Id="rId46" Type="http://schemas.openxmlformats.org/officeDocument/2006/relationships/image" Target="media/image16.jpeg"/><Relationship Id="rId20" Type="http://schemas.openxmlformats.org/officeDocument/2006/relationships/hyperlink" Target="https://newsletter.bmbwf.gv.at/redirect.html?s=imR9a1sMOQTn" TargetMode="External"/><Relationship Id="rId41" Type="http://schemas.openxmlformats.org/officeDocument/2006/relationships/hyperlink" Target="https://www.phst.at/fortbildung-beratung/weiterbildung/hochschullehrgaenge/sehbehinderten-und-blindenpaedagogik/"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2179</Words>
  <Characters>13730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Lippert</dc:creator>
  <cp:keywords/>
  <dc:description/>
  <cp:lastModifiedBy>Veronika  Lippert</cp:lastModifiedBy>
  <cp:revision>1</cp:revision>
  <dcterms:created xsi:type="dcterms:W3CDTF">2024-11-22T07:03:00Z</dcterms:created>
  <dcterms:modified xsi:type="dcterms:W3CDTF">2024-11-22T07:14:00Z</dcterms:modified>
</cp:coreProperties>
</file>